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FC5" w:rsidRPr="00E8720E" w:rsidRDefault="003978C1" w:rsidP="005D40D5">
      <w:pPr>
        <w:spacing w:line="240" w:lineRule="auto"/>
        <w:rPr>
          <w:rFonts w:cstheme="minorHAnsi"/>
          <w:b/>
          <w:sz w:val="24"/>
          <w:szCs w:val="24"/>
        </w:rPr>
      </w:pPr>
      <w:proofErr w:type="gramStart"/>
      <w:r w:rsidRPr="00E8720E">
        <w:rPr>
          <w:rFonts w:cstheme="minorHAnsi"/>
          <w:b/>
          <w:sz w:val="24"/>
          <w:szCs w:val="24"/>
        </w:rPr>
        <w:t xml:space="preserve">Requirements for Regular and </w:t>
      </w:r>
      <w:r w:rsidR="00E80FC5" w:rsidRPr="00E8720E">
        <w:rPr>
          <w:rFonts w:cstheme="minorHAnsi"/>
          <w:b/>
          <w:sz w:val="24"/>
          <w:szCs w:val="24"/>
        </w:rPr>
        <w:t>Honors thesis guidelines</w:t>
      </w:r>
      <w:r w:rsidR="00DD5BDD" w:rsidRPr="00E8720E">
        <w:rPr>
          <w:rFonts w:cstheme="minorHAnsi"/>
          <w:b/>
          <w:sz w:val="24"/>
          <w:szCs w:val="24"/>
        </w:rPr>
        <w:t>.</w:t>
      </w:r>
      <w:proofErr w:type="gramEnd"/>
      <w:r w:rsidR="00E80FC5" w:rsidRPr="00E8720E">
        <w:rPr>
          <w:rFonts w:cstheme="minorHAnsi"/>
          <w:b/>
          <w:sz w:val="24"/>
          <w:szCs w:val="24"/>
        </w:rPr>
        <w:t xml:space="preserve"> </w:t>
      </w:r>
    </w:p>
    <w:tbl>
      <w:tblPr>
        <w:tblStyle w:val="TableGrid"/>
        <w:tblW w:w="0" w:type="auto"/>
        <w:tblLook w:val="04A0"/>
      </w:tblPr>
      <w:tblGrid>
        <w:gridCol w:w="1728"/>
        <w:gridCol w:w="1962"/>
        <w:gridCol w:w="1962"/>
        <w:gridCol w:w="1962"/>
        <w:gridCol w:w="1962"/>
      </w:tblGrid>
      <w:tr w:rsidR="003978C1" w:rsidRPr="00E8720E" w:rsidTr="006630F7">
        <w:tc>
          <w:tcPr>
            <w:tcW w:w="1728" w:type="dxa"/>
          </w:tcPr>
          <w:p w:rsidR="003978C1" w:rsidRPr="00E8720E" w:rsidRDefault="003978C1" w:rsidP="005D40D5">
            <w:pPr>
              <w:rPr>
                <w:rFonts w:cstheme="minorHAnsi"/>
              </w:rPr>
            </w:pPr>
          </w:p>
        </w:tc>
        <w:tc>
          <w:tcPr>
            <w:tcW w:w="1962" w:type="dxa"/>
          </w:tcPr>
          <w:p w:rsidR="001A03B8" w:rsidRDefault="00DD5D4D" w:rsidP="005D40D5">
            <w:pPr>
              <w:rPr>
                <w:rFonts w:cstheme="minorHAnsi"/>
              </w:rPr>
            </w:pPr>
            <w:r w:rsidRPr="00E8720E">
              <w:rPr>
                <w:rFonts w:cstheme="minorHAnsi"/>
              </w:rPr>
              <w:t>Regular</w:t>
            </w:r>
            <w:r w:rsidR="003978C1" w:rsidRPr="00E8720E">
              <w:rPr>
                <w:rFonts w:cstheme="minorHAnsi"/>
              </w:rPr>
              <w:t xml:space="preserve"> thesis </w:t>
            </w:r>
          </w:p>
          <w:p w:rsidR="003978C1" w:rsidRPr="00E8720E" w:rsidRDefault="001A03B8" w:rsidP="005D40D5">
            <w:pPr>
              <w:rPr>
                <w:rFonts w:cstheme="minorHAnsi"/>
              </w:rPr>
            </w:pPr>
            <w:r>
              <w:rPr>
                <w:rFonts w:cstheme="minorHAnsi"/>
              </w:rPr>
              <w:t>(in Spring 2011)</w:t>
            </w:r>
          </w:p>
        </w:tc>
        <w:tc>
          <w:tcPr>
            <w:tcW w:w="1962" w:type="dxa"/>
          </w:tcPr>
          <w:p w:rsidR="003978C1" w:rsidRPr="00E8720E" w:rsidRDefault="003978C1" w:rsidP="005D40D5">
            <w:pPr>
              <w:rPr>
                <w:rFonts w:cstheme="minorHAnsi"/>
              </w:rPr>
            </w:pPr>
            <w:r w:rsidRPr="00E8720E">
              <w:rPr>
                <w:rFonts w:cstheme="minorHAnsi"/>
              </w:rPr>
              <w:t>Honors thesis in ASC</w:t>
            </w:r>
            <w:r w:rsidR="005D699E" w:rsidRPr="00E8720E">
              <w:rPr>
                <w:rFonts w:cstheme="minorHAnsi"/>
                <w:vertAlign w:val="superscript"/>
              </w:rPr>
              <w:t>1</w:t>
            </w:r>
          </w:p>
        </w:tc>
        <w:tc>
          <w:tcPr>
            <w:tcW w:w="1962" w:type="dxa"/>
          </w:tcPr>
          <w:p w:rsidR="003978C1" w:rsidRPr="00E8720E" w:rsidRDefault="003978C1" w:rsidP="005D40D5">
            <w:pPr>
              <w:rPr>
                <w:rFonts w:cstheme="minorHAnsi"/>
              </w:rPr>
            </w:pPr>
            <w:r w:rsidRPr="001A03B8">
              <w:rPr>
                <w:rFonts w:cstheme="minorHAnsi"/>
                <w:color w:val="0070C0"/>
                <w:highlight w:val="yellow"/>
              </w:rPr>
              <w:t>Proposed revision</w:t>
            </w:r>
            <w:r w:rsidR="000D29B1" w:rsidRPr="001A03B8">
              <w:rPr>
                <w:rFonts w:cstheme="minorHAnsi"/>
                <w:color w:val="0070C0"/>
                <w:highlight w:val="yellow"/>
              </w:rPr>
              <w:t>s</w:t>
            </w:r>
            <w:r w:rsidRPr="001A03B8">
              <w:rPr>
                <w:rFonts w:cstheme="minorHAnsi"/>
                <w:highlight w:val="yellow"/>
              </w:rPr>
              <w:t xml:space="preserve"> to ASC</w:t>
            </w:r>
            <w:r w:rsidR="00E8720E" w:rsidRPr="001A03B8">
              <w:rPr>
                <w:rFonts w:cstheme="minorHAnsi"/>
                <w:highlight w:val="yellow"/>
                <w:vertAlign w:val="superscript"/>
              </w:rPr>
              <w:t>1</w:t>
            </w:r>
          </w:p>
        </w:tc>
        <w:tc>
          <w:tcPr>
            <w:tcW w:w="1962" w:type="dxa"/>
          </w:tcPr>
          <w:p w:rsidR="003978C1" w:rsidRPr="00E8720E" w:rsidRDefault="003978C1" w:rsidP="005D40D5">
            <w:pPr>
              <w:rPr>
                <w:rFonts w:cstheme="minorHAnsi"/>
              </w:rPr>
            </w:pPr>
            <w:r w:rsidRPr="00E8720E">
              <w:rPr>
                <w:rFonts w:cstheme="minorHAnsi"/>
              </w:rPr>
              <w:t>Honors thesis in ENG</w:t>
            </w:r>
            <w:r w:rsidR="00E8720E">
              <w:rPr>
                <w:rFonts w:cstheme="minorHAnsi"/>
              </w:rPr>
              <w:t>INEERING</w:t>
            </w:r>
          </w:p>
        </w:tc>
      </w:tr>
      <w:tr w:rsidR="003978C1" w:rsidRPr="00E8720E" w:rsidTr="006630F7">
        <w:tc>
          <w:tcPr>
            <w:tcW w:w="1728" w:type="dxa"/>
          </w:tcPr>
          <w:p w:rsidR="003978C1" w:rsidRPr="00E8720E" w:rsidRDefault="00B1523B" w:rsidP="005D40D5">
            <w:pPr>
              <w:rPr>
                <w:rFonts w:cstheme="minorHAnsi"/>
              </w:rPr>
            </w:pPr>
            <w:r w:rsidRPr="00E8720E">
              <w:rPr>
                <w:rFonts w:cstheme="minorHAnsi"/>
              </w:rPr>
              <w:t xml:space="preserve">Min. </w:t>
            </w:r>
            <w:r w:rsidR="003978C1" w:rsidRPr="00E8720E">
              <w:rPr>
                <w:rFonts w:cstheme="minorHAnsi"/>
              </w:rPr>
              <w:t>GPA at graduation</w:t>
            </w:r>
          </w:p>
        </w:tc>
        <w:tc>
          <w:tcPr>
            <w:tcW w:w="1962" w:type="dxa"/>
          </w:tcPr>
          <w:p w:rsidR="003978C1" w:rsidRPr="00E8720E" w:rsidRDefault="003978C1" w:rsidP="005D40D5">
            <w:pPr>
              <w:rPr>
                <w:rFonts w:cstheme="minorHAnsi"/>
              </w:rPr>
            </w:pPr>
            <w:r w:rsidRPr="00E8720E">
              <w:rPr>
                <w:rFonts w:cstheme="minorHAnsi"/>
              </w:rPr>
              <w:t>3.0</w:t>
            </w:r>
          </w:p>
        </w:tc>
        <w:tc>
          <w:tcPr>
            <w:tcW w:w="1962" w:type="dxa"/>
          </w:tcPr>
          <w:p w:rsidR="003978C1" w:rsidRPr="00E8720E" w:rsidRDefault="003978C1" w:rsidP="005D40D5">
            <w:pPr>
              <w:rPr>
                <w:rFonts w:cstheme="minorHAnsi"/>
              </w:rPr>
            </w:pPr>
            <w:r w:rsidRPr="00E8720E">
              <w:rPr>
                <w:rFonts w:cstheme="minorHAnsi"/>
              </w:rPr>
              <w:t>3.4</w:t>
            </w:r>
          </w:p>
        </w:tc>
        <w:tc>
          <w:tcPr>
            <w:tcW w:w="1962" w:type="dxa"/>
          </w:tcPr>
          <w:p w:rsidR="003978C1" w:rsidRPr="00E8720E" w:rsidRDefault="005D699E" w:rsidP="005D40D5">
            <w:pPr>
              <w:rPr>
                <w:rFonts w:cstheme="minorHAnsi"/>
              </w:rPr>
            </w:pPr>
            <w:r w:rsidRPr="00E8720E">
              <w:rPr>
                <w:rFonts w:cstheme="minorHAnsi"/>
              </w:rPr>
              <w:t>3.4</w:t>
            </w:r>
          </w:p>
          <w:p w:rsidR="000D29B1" w:rsidRPr="00E8720E" w:rsidRDefault="000D29B1" w:rsidP="005D40D5">
            <w:pPr>
              <w:rPr>
                <w:rFonts w:cstheme="minorHAnsi"/>
              </w:rPr>
            </w:pPr>
          </w:p>
        </w:tc>
        <w:tc>
          <w:tcPr>
            <w:tcW w:w="1962" w:type="dxa"/>
          </w:tcPr>
          <w:p w:rsidR="003978C1" w:rsidRPr="00E8720E" w:rsidRDefault="003978C1" w:rsidP="005D40D5">
            <w:pPr>
              <w:rPr>
                <w:rFonts w:cstheme="minorHAnsi"/>
              </w:rPr>
            </w:pPr>
            <w:r w:rsidRPr="00E8720E">
              <w:rPr>
                <w:rFonts w:cstheme="minorHAnsi"/>
              </w:rPr>
              <w:t>3.4</w:t>
            </w:r>
          </w:p>
        </w:tc>
      </w:tr>
      <w:tr w:rsidR="003978C1" w:rsidRPr="00E8720E" w:rsidTr="006630F7">
        <w:tc>
          <w:tcPr>
            <w:tcW w:w="1728" w:type="dxa"/>
          </w:tcPr>
          <w:p w:rsidR="003978C1" w:rsidRPr="00E8720E" w:rsidRDefault="00B1523B" w:rsidP="005D40D5">
            <w:pPr>
              <w:rPr>
                <w:rFonts w:cstheme="minorHAnsi"/>
              </w:rPr>
            </w:pPr>
            <w:r w:rsidRPr="00E8720E">
              <w:rPr>
                <w:rFonts w:cstheme="minorHAnsi"/>
              </w:rPr>
              <w:t xml:space="preserve">Min. </w:t>
            </w:r>
            <w:r w:rsidR="003978C1" w:rsidRPr="00E8720E">
              <w:rPr>
                <w:rFonts w:cstheme="minorHAnsi"/>
              </w:rPr>
              <w:t>GPA in major</w:t>
            </w:r>
          </w:p>
        </w:tc>
        <w:tc>
          <w:tcPr>
            <w:tcW w:w="1962" w:type="dxa"/>
          </w:tcPr>
          <w:p w:rsidR="003978C1" w:rsidRPr="00E8720E" w:rsidRDefault="000D29B1" w:rsidP="005D40D5">
            <w:pPr>
              <w:rPr>
                <w:rFonts w:cstheme="minorHAnsi"/>
              </w:rPr>
            </w:pPr>
            <w:r w:rsidRPr="00E8720E">
              <w:rPr>
                <w:rFonts w:cstheme="minorHAnsi"/>
              </w:rPr>
              <w:t>Not Specified</w:t>
            </w:r>
          </w:p>
        </w:tc>
        <w:tc>
          <w:tcPr>
            <w:tcW w:w="1962" w:type="dxa"/>
          </w:tcPr>
          <w:p w:rsidR="003978C1" w:rsidRPr="00E8720E" w:rsidRDefault="00E8720E" w:rsidP="005D40D5">
            <w:pPr>
              <w:rPr>
                <w:rFonts w:cstheme="minorHAnsi"/>
              </w:rPr>
            </w:pPr>
            <w:r w:rsidRPr="00E8720E">
              <w:rPr>
                <w:rFonts w:cstheme="minorHAnsi"/>
              </w:rPr>
              <w:t>See footnote</w:t>
            </w:r>
            <w:r w:rsidR="005D699E" w:rsidRPr="00E8720E">
              <w:rPr>
                <w:rFonts w:cstheme="minorHAnsi"/>
                <w:vertAlign w:val="superscript"/>
              </w:rPr>
              <w:t>2</w:t>
            </w:r>
          </w:p>
        </w:tc>
        <w:tc>
          <w:tcPr>
            <w:tcW w:w="1962" w:type="dxa"/>
          </w:tcPr>
          <w:p w:rsidR="003978C1" w:rsidRPr="00E8720E" w:rsidRDefault="006205D3" w:rsidP="005D40D5">
            <w:pPr>
              <w:rPr>
                <w:rFonts w:cstheme="minorHAnsi"/>
              </w:rPr>
            </w:pPr>
            <w:r w:rsidRPr="00E8720E">
              <w:rPr>
                <w:rFonts w:cstheme="minorHAnsi"/>
              </w:rPr>
              <w:t>Not specified</w:t>
            </w:r>
            <w:r w:rsidR="005D699E" w:rsidRPr="00E8720E">
              <w:rPr>
                <w:rFonts w:cstheme="minorHAnsi"/>
                <w:vertAlign w:val="superscript"/>
              </w:rPr>
              <w:t>2</w:t>
            </w:r>
          </w:p>
        </w:tc>
        <w:tc>
          <w:tcPr>
            <w:tcW w:w="1962" w:type="dxa"/>
          </w:tcPr>
          <w:p w:rsidR="003978C1" w:rsidRPr="00E8720E" w:rsidRDefault="003978C1" w:rsidP="005D40D5">
            <w:pPr>
              <w:rPr>
                <w:rFonts w:cstheme="minorHAnsi"/>
              </w:rPr>
            </w:pPr>
            <w:r w:rsidRPr="00E8720E">
              <w:rPr>
                <w:rFonts w:cstheme="minorHAnsi"/>
              </w:rPr>
              <w:t>Not specified</w:t>
            </w:r>
          </w:p>
        </w:tc>
      </w:tr>
      <w:tr w:rsidR="003978C1" w:rsidRPr="00E8720E" w:rsidTr="006630F7">
        <w:tc>
          <w:tcPr>
            <w:tcW w:w="1728" w:type="dxa"/>
          </w:tcPr>
          <w:p w:rsidR="003978C1" w:rsidRPr="00E8720E" w:rsidRDefault="003978C1" w:rsidP="005D40D5">
            <w:pPr>
              <w:rPr>
                <w:rFonts w:cstheme="minorHAnsi"/>
              </w:rPr>
            </w:pPr>
            <w:r w:rsidRPr="00E8720E">
              <w:rPr>
                <w:rFonts w:cstheme="minorHAnsi"/>
              </w:rPr>
              <w:t>OSU faculty research project advisor</w:t>
            </w:r>
          </w:p>
        </w:tc>
        <w:tc>
          <w:tcPr>
            <w:tcW w:w="1962" w:type="dxa"/>
          </w:tcPr>
          <w:p w:rsidR="003978C1" w:rsidRPr="00E8720E" w:rsidRDefault="00276448" w:rsidP="005D40D5">
            <w:pPr>
              <w:rPr>
                <w:rFonts w:cstheme="minorHAnsi"/>
              </w:rPr>
            </w:pPr>
            <w:r w:rsidRPr="00E8720E">
              <w:rPr>
                <w:rFonts w:cstheme="minorHAnsi"/>
              </w:rPr>
              <w:t>Regular faculty (</w:t>
            </w:r>
            <w:r w:rsidR="003978C1" w:rsidRPr="00E8720E">
              <w:rPr>
                <w:rFonts w:cstheme="minorHAnsi"/>
              </w:rPr>
              <w:t>includes research and clinical</w:t>
            </w:r>
            <w:r w:rsidRPr="00E8720E">
              <w:rPr>
                <w:rFonts w:cstheme="minorHAnsi"/>
              </w:rPr>
              <w:t>); Auxiliary Faculty</w:t>
            </w:r>
            <w:r w:rsidR="006630F7">
              <w:rPr>
                <w:rFonts w:cstheme="minorHAnsi"/>
              </w:rPr>
              <w:t xml:space="preserve"> (if involved in research)</w:t>
            </w:r>
          </w:p>
        </w:tc>
        <w:tc>
          <w:tcPr>
            <w:tcW w:w="1962" w:type="dxa"/>
          </w:tcPr>
          <w:p w:rsidR="003978C1" w:rsidRPr="00E8720E" w:rsidRDefault="00276448" w:rsidP="005D40D5">
            <w:pPr>
              <w:rPr>
                <w:rFonts w:cstheme="minorHAnsi"/>
              </w:rPr>
            </w:pPr>
            <w:r w:rsidRPr="00E8720E">
              <w:rPr>
                <w:rFonts w:cstheme="minorHAnsi"/>
              </w:rPr>
              <w:t>Tenure-</w:t>
            </w:r>
            <w:r w:rsidR="003978C1" w:rsidRPr="00E8720E">
              <w:rPr>
                <w:rFonts w:cstheme="minorHAnsi"/>
              </w:rPr>
              <w:t>track faculty</w:t>
            </w:r>
          </w:p>
          <w:p w:rsidR="003978C1" w:rsidRPr="00E8720E" w:rsidRDefault="003978C1" w:rsidP="005D40D5">
            <w:pPr>
              <w:rPr>
                <w:rFonts w:cstheme="minorHAnsi"/>
              </w:rPr>
            </w:pPr>
          </w:p>
        </w:tc>
        <w:tc>
          <w:tcPr>
            <w:tcW w:w="1962" w:type="dxa"/>
          </w:tcPr>
          <w:p w:rsidR="003978C1" w:rsidRPr="00E8720E" w:rsidRDefault="00276448" w:rsidP="003978C1">
            <w:pPr>
              <w:rPr>
                <w:rFonts w:cstheme="minorHAnsi"/>
              </w:rPr>
            </w:pPr>
            <w:r w:rsidRPr="00E8720E">
              <w:rPr>
                <w:rFonts w:cstheme="minorHAnsi"/>
              </w:rPr>
              <w:t>Tenure-</w:t>
            </w:r>
            <w:r w:rsidR="003978C1" w:rsidRPr="00E8720E">
              <w:rPr>
                <w:rFonts w:cstheme="minorHAnsi"/>
              </w:rPr>
              <w:t>track faculty</w:t>
            </w:r>
          </w:p>
          <w:p w:rsidR="003978C1" w:rsidRPr="00E8720E" w:rsidRDefault="003978C1" w:rsidP="003978C1">
            <w:pPr>
              <w:rPr>
                <w:rFonts w:cstheme="minorHAnsi"/>
              </w:rPr>
            </w:pPr>
          </w:p>
        </w:tc>
        <w:tc>
          <w:tcPr>
            <w:tcW w:w="1962" w:type="dxa"/>
          </w:tcPr>
          <w:p w:rsidR="003978C1" w:rsidRPr="00E8720E" w:rsidRDefault="00276448" w:rsidP="003717FD">
            <w:pPr>
              <w:rPr>
                <w:rFonts w:cstheme="minorHAnsi"/>
              </w:rPr>
            </w:pPr>
            <w:r w:rsidRPr="00E8720E">
              <w:rPr>
                <w:rFonts w:cstheme="minorHAnsi"/>
              </w:rPr>
              <w:t>Tenure-</w:t>
            </w:r>
            <w:r w:rsidR="003978C1" w:rsidRPr="00E8720E">
              <w:rPr>
                <w:rFonts w:cstheme="minorHAnsi"/>
              </w:rPr>
              <w:t>track faculty</w:t>
            </w:r>
          </w:p>
          <w:p w:rsidR="003978C1" w:rsidRPr="00E8720E" w:rsidRDefault="003978C1" w:rsidP="003717FD">
            <w:pPr>
              <w:rPr>
                <w:rFonts w:cstheme="minorHAnsi"/>
              </w:rPr>
            </w:pPr>
          </w:p>
        </w:tc>
      </w:tr>
      <w:tr w:rsidR="003978C1" w:rsidRPr="00E8720E" w:rsidTr="006630F7">
        <w:tc>
          <w:tcPr>
            <w:tcW w:w="1728" w:type="dxa"/>
          </w:tcPr>
          <w:p w:rsidR="003978C1" w:rsidRPr="00E8720E" w:rsidRDefault="003978C1" w:rsidP="005D40D5">
            <w:pPr>
              <w:rPr>
                <w:rFonts w:cstheme="minorHAnsi"/>
              </w:rPr>
            </w:pPr>
            <w:r w:rsidRPr="00E8720E">
              <w:rPr>
                <w:rFonts w:cstheme="minorHAnsi"/>
              </w:rPr>
              <w:t>Exam committee member 1</w:t>
            </w:r>
          </w:p>
        </w:tc>
        <w:tc>
          <w:tcPr>
            <w:tcW w:w="1962" w:type="dxa"/>
          </w:tcPr>
          <w:p w:rsidR="003978C1" w:rsidRPr="00E8720E" w:rsidRDefault="00276448" w:rsidP="005D40D5">
            <w:pPr>
              <w:rPr>
                <w:rFonts w:cstheme="minorHAnsi"/>
              </w:rPr>
            </w:pPr>
            <w:r w:rsidRPr="00E8720E">
              <w:rPr>
                <w:rFonts w:cstheme="minorHAnsi"/>
              </w:rPr>
              <w:t xml:space="preserve">Regular faculty, </w:t>
            </w:r>
            <w:r w:rsidR="001A03B8">
              <w:rPr>
                <w:rFonts w:cstheme="minorHAnsi"/>
              </w:rPr>
              <w:t>(</w:t>
            </w:r>
            <w:r w:rsidRPr="00E8720E">
              <w:rPr>
                <w:rFonts w:cstheme="minorHAnsi"/>
              </w:rPr>
              <w:t>includes research and clinical</w:t>
            </w:r>
            <w:r w:rsidR="001A03B8">
              <w:rPr>
                <w:rFonts w:cstheme="minorHAnsi"/>
              </w:rPr>
              <w:t>)</w:t>
            </w:r>
            <w:r w:rsidRPr="00E8720E">
              <w:rPr>
                <w:rFonts w:cstheme="minorHAnsi"/>
              </w:rPr>
              <w:t>;</w:t>
            </w:r>
            <w:r w:rsidR="00E8720E">
              <w:rPr>
                <w:rFonts w:cstheme="minorHAnsi"/>
              </w:rPr>
              <w:t xml:space="preserve"> also</w:t>
            </w:r>
            <w:r w:rsidRPr="00E8720E">
              <w:rPr>
                <w:rFonts w:cstheme="minorHAnsi"/>
              </w:rPr>
              <w:t xml:space="preserve"> Auxiliary Faculty</w:t>
            </w:r>
            <w:r w:rsidR="006630F7">
              <w:rPr>
                <w:rFonts w:cstheme="minorHAnsi"/>
              </w:rPr>
              <w:t xml:space="preserve"> (if involved in research)</w:t>
            </w:r>
          </w:p>
        </w:tc>
        <w:tc>
          <w:tcPr>
            <w:tcW w:w="1962" w:type="dxa"/>
          </w:tcPr>
          <w:p w:rsidR="003978C1" w:rsidRPr="00E8720E" w:rsidRDefault="003978C1" w:rsidP="005D40D5">
            <w:pPr>
              <w:rPr>
                <w:rFonts w:cstheme="minorHAnsi"/>
              </w:rPr>
            </w:pPr>
            <w:r w:rsidRPr="00E8720E">
              <w:rPr>
                <w:rFonts w:cstheme="minorHAnsi"/>
              </w:rPr>
              <w:t>“Faculty”</w:t>
            </w:r>
          </w:p>
          <w:p w:rsidR="003978C1" w:rsidRPr="00E8720E" w:rsidRDefault="003978C1" w:rsidP="005D40D5">
            <w:pPr>
              <w:rPr>
                <w:rFonts w:cstheme="minorHAnsi"/>
              </w:rPr>
            </w:pPr>
          </w:p>
        </w:tc>
        <w:tc>
          <w:tcPr>
            <w:tcW w:w="1962" w:type="dxa"/>
          </w:tcPr>
          <w:p w:rsidR="003978C1" w:rsidRPr="00E8720E" w:rsidRDefault="00276448" w:rsidP="003978C1">
            <w:pPr>
              <w:rPr>
                <w:rFonts w:cstheme="minorHAnsi"/>
              </w:rPr>
            </w:pPr>
            <w:r w:rsidRPr="00E8720E">
              <w:rPr>
                <w:rFonts w:cstheme="minorHAnsi"/>
              </w:rPr>
              <w:t xml:space="preserve">Regular faculty, </w:t>
            </w:r>
            <w:r w:rsidR="001A03B8">
              <w:rPr>
                <w:rFonts w:cstheme="minorHAnsi"/>
              </w:rPr>
              <w:t>(</w:t>
            </w:r>
            <w:r w:rsidRPr="00E8720E">
              <w:rPr>
                <w:rFonts w:cstheme="minorHAnsi"/>
              </w:rPr>
              <w:t>includes research and clinical</w:t>
            </w:r>
            <w:r w:rsidR="001A03B8">
              <w:rPr>
                <w:rFonts w:cstheme="minorHAnsi"/>
              </w:rPr>
              <w:t>)</w:t>
            </w:r>
            <w:r w:rsidRPr="00E8720E">
              <w:rPr>
                <w:rFonts w:cstheme="minorHAnsi"/>
              </w:rPr>
              <w:t xml:space="preserve">; </w:t>
            </w:r>
            <w:r w:rsidR="00E8720E">
              <w:rPr>
                <w:rFonts w:cstheme="minorHAnsi"/>
              </w:rPr>
              <w:t xml:space="preserve">also </w:t>
            </w:r>
            <w:r w:rsidRPr="00E8720E">
              <w:rPr>
                <w:rFonts w:cstheme="minorHAnsi"/>
              </w:rPr>
              <w:t>Auxiliary Faculty</w:t>
            </w:r>
            <w:r w:rsidR="006630F7">
              <w:rPr>
                <w:rFonts w:cstheme="minorHAnsi"/>
              </w:rPr>
              <w:t xml:space="preserve"> (if involved in research)</w:t>
            </w:r>
          </w:p>
        </w:tc>
        <w:tc>
          <w:tcPr>
            <w:tcW w:w="1962" w:type="dxa"/>
          </w:tcPr>
          <w:p w:rsidR="003978C1" w:rsidRPr="00E8720E" w:rsidRDefault="001A03B8" w:rsidP="003717FD">
            <w:pPr>
              <w:rPr>
                <w:rFonts w:cstheme="minorHAnsi"/>
              </w:rPr>
            </w:pPr>
            <w:r>
              <w:rPr>
                <w:rFonts w:cstheme="minorHAnsi"/>
              </w:rPr>
              <w:t>Tenure-</w:t>
            </w:r>
            <w:r w:rsidR="003978C1" w:rsidRPr="00E8720E">
              <w:rPr>
                <w:rFonts w:cstheme="minorHAnsi"/>
              </w:rPr>
              <w:t>track faculty</w:t>
            </w:r>
          </w:p>
          <w:p w:rsidR="003978C1" w:rsidRPr="00E8720E" w:rsidRDefault="003978C1" w:rsidP="003717FD">
            <w:pPr>
              <w:rPr>
                <w:rFonts w:cstheme="minorHAnsi"/>
              </w:rPr>
            </w:pPr>
          </w:p>
        </w:tc>
      </w:tr>
      <w:tr w:rsidR="003978C1" w:rsidRPr="00E8720E" w:rsidTr="006630F7">
        <w:tc>
          <w:tcPr>
            <w:tcW w:w="1728" w:type="dxa"/>
          </w:tcPr>
          <w:p w:rsidR="003978C1" w:rsidRPr="00E8720E" w:rsidRDefault="003978C1" w:rsidP="005D40D5">
            <w:pPr>
              <w:rPr>
                <w:rFonts w:cstheme="minorHAnsi"/>
              </w:rPr>
            </w:pPr>
            <w:r w:rsidRPr="00E8720E">
              <w:rPr>
                <w:rFonts w:cstheme="minorHAnsi"/>
              </w:rPr>
              <w:t>Exam committee member 2</w:t>
            </w:r>
          </w:p>
        </w:tc>
        <w:tc>
          <w:tcPr>
            <w:tcW w:w="1962" w:type="dxa"/>
          </w:tcPr>
          <w:p w:rsidR="003978C1" w:rsidRPr="00E8720E" w:rsidRDefault="003978C1" w:rsidP="005D40D5">
            <w:pPr>
              <w:rPr>
                <w:rFonts w:cstheme="minorHAnsi"/>
              </w:rPr>
            </w:pPr>
            <w:r w:rsidRPr="00E8720E">
              <w:rPr>
                <w:rFonts w:cstheme="minorHAnsi"/>
              </w:rPr>
              <w:t>None</w:t>
            </w:r>
          </w:p>
        </w:tc>
        <w:tc>
          <w:tcPr>
            <w:tcW w:w="1962" w:type="dxa"/>
          </w:tcPr>
          <w:p w:rsidR="003978C1" w:rsidRPr="00E8720E" w:rsidRDefault="00276448" w:rsidP="005D40D5">
            <w:pPr>
              <w:rPr>
                <w:rFonts w:cstheme="minorHAnsi"/>
              </w:rPr>
            </w:pPr>
            <w:r w:rsidRPr="00E8720E">
              <w:rPr>
                <w:rFonts w:cstheme="minorHAnsi"/>
              </w:rPr>
              <w:t>Tenure-</w:t>
            </w:r>
            <w:r w:rsidR="003978C1" w:rsidRPr="00E8720E">
              <w:rPr>
                <w:rFonts w:cstheme="minorHAnsi"/>
              </w:rPr>
              <w:t>track faculty</w:t>
            </w:r>
            <w:r w:rsidR="0080179A" w:rsidRPr="00E8720E">
              <w:rPr>
                <w:rFonts w:cstheme="minorHAnsi"/>
              </w:rPr>
              <w:t xml:space="preserve"> </w:t>
            </w:r>
            <w:r w:rsidR="003978C1" w:rsidRPr="00E8720E">
              <w:rPr>
                <w:rFonts w:cstheme="minorHAnsi"/>
              </w:rPr>
              <w:t xml:space="preserve"> from another dept.</w:t>
            </w:r>
          </w:p>
        </w:tc>
        <w:tc>
          <w:tcPr>
            <w:tcW w:w="1962" w:type="dxa"/>
          </w:tcPr>
          <w:p w:rsidR="003978C1" w:rsidRPr="00E8720E" w:rsidRDefault="00276448" w:rsidP="005D40D5">
            <w:pPr>
              <w:rPr>
                <w:rFonts w:cstheme="minorHAnsi"/>
              </w:rPr>
            </w:pPr>
            <w:r w:rsidRPr="001A03B8">
              <w:rPr>
                <w:rFonts w:cstheme="minorHAnsi"/>
              </w:rPr>
              <w:t xml:space="preserve">Tenure-track </w:t>
            </w:r>
            <w:r w:rsidR="006630F7" w:rsidRPr="001A03B8">
              <w:rPr>
                <w:rFonts w:cstheme="minorHAnsi"/>
              </w:rPr>
              <w:t xml:space="preserve"> </w:t>
            </w:r>
            <w:r w:rsidRPr="00E8720E">
              <w:rPr>
                <w:rFonts w:cstheme="minorHAnsi"/>
              </w:rPr>
              <w:t>faculty  from another dept.</w:t>
            </w:r>
          </w:p>
        </w:tc>
        <w:tc>
          <w:tcPr>
            <w:tcW w:w="1962" w:type="dxa"/>
          </w:tcPr>
          <w:p w:rsidR="003978C1" w:rsidRPr="00E8720E" w:rsidRDefault="003978C1" w:rsidP="005D40D5">
            <w:pPr>
              <w:rPr>
                <w:rFonts w:cstheme="minorHAnsi"/>
              </w:rPr>
            </w:pPr>
            <w:r w:rsidRPr="00E8720E">
              <w:rPr>
                <w:rFonts w:cstheme="minorHAnsi"/>
              </w:rPr>
              <w:t>None</w:t>
            </w:r>
          </w:p>
        </w:tc>
      </w:tr>
      <w:tr w:rsidR="003978C1" w:rsidRPr="00E8720E" w:rsidTr="006630F7">
        <w:tc>
          <w:tcPr>
            <w:tcW w:w="1728" w:type="dxa"/>
          </w:tcPr>
          <w:p w:rsidR="003978C1" w:rsidRPr="00E8720E" w:rsidRDefault="003978C1" w:rsidP="005D40D5">
            <w:pPr>
              <w:rPr>
                <w:rFonts w:cstheme="minorHAnsi"/>
              </w:rPr>
            </w:pPr>
            <w:r w:rsidRPr="00E8720E">
              <w:rPr>
                <w:rFonts w:cstheme="minorHAnsi"/>
              </w:rPr>
              <w:t>Oral exam</w:t>
            </w:r>
          </w:p>
        </w:tc>
        <w:tc>
          <w:tcPr>
            <w:tcW w:w="1962" w:type="dxa"/>
          </w:tcPr>
          <w:p w:rsidR="003978C1" w:rsidRPr="00E8720E" w:rsidRDefault="003978C1" w:rsidP="005D40D5">
            <w:pPr>
              <w:rPr>
                <w:rFonts w:cstheme="minorHAnsi"/>
              </w:rPr>
            </w:pPr>
            <w:r w:rsidRPr="00E8720E">
              <w:rPr>
                <w:rFonts w:cstheme="minorHAnsi"/>
              </w:rPr>
              <w:t>1 hour</w:t>
            </w:r>
          </w:p>
        </w:tc>
        <w:tc>
          <w:tcPr>
            <w:tcW w:w="1962" w:type="dxa"/>
          </w:tcPr>
          <w:p w:rsidR="003978C1" w:rsidRPr="00E8720E" w:rsidRDefault="003978C1" w:rsidP="005D40D5">
            <w:pPr>
              <w:rPr>
                <w:rFonts w:cstheme="minorHAnsi"/>
              </w:rPr>
            </w:pPr>
            <w:r w:rsidRPr="00E8720E">
              <w:rPr>
                <w:rFonts w:cstheme="minorHAnsi"/>
              </w:rPr>
              <w:t>1 hour</w:t>
            </w:r>
          </w:p>
        </w:tc>
        <w:tc>
          <w:tcPr>
            <w:tcW w:w="1962" w:type="dxa"/>
          </w:tcPr>
          <w:p w:rsidR="003978C1" w:rsidRPr="00E8720E" w:rsidRDefault="003978C1" w:rsidP="005D40D5">
            <w:pPr>
              <w:rPr>
                <w:rFonts w:cstheme="minorHAnsi"/>
              </w:rPr>
            </w:pPr>
            <w:r w:rsidRPr="00E8720E">
              <w:rPr>
                <w:rFonts w:cstheme="minorHAnsi"/>
              </w:rPr>
              <w:t>1 hour</w:t>
            </w:r>
          </w:p>
        </w:tc>
        <w:tc>
          <w:tcPr>
            <w:tcW w:w="1962" w:type="dxa"/>
          </w:tcPr>
          <w:p w:rsidR="003978C1" w:rsidRPr="00E8720E" w:rsidRDefault="003978C1" w:rsidP="005D40D5">
            <w:pPr>
              <w:rPr>
                <w:rFonts w:cstheme="minorHAnsi"/>
              </w:rPr>
            </w:pPr>
            <w:r w:rsidRPr="00E8720E">
              <w:rPr>
                <w:rFonts w:cstheme="minorHAnsi"/>
              </w:rPr>
              <w:t>1 hour</w:t>
            </w:r>
          </w:p>
        </w:tc>
      </w:tr>
      <w:tr w:rsidR="003978C1" w:rsidRPr="00E8720E" w:rsidTr="006630F7">
        <w:tc>
          <w:tcPr>
            <w:tcW w:w="1728" w:type="dxa"/>
          </w:tcPr>
          <w:p w:rsidR="003978C1" w:rsidRPr="00E8720E" w:rsidRDefault="003978C1" w:rsidP="005D40D5">
            <w:pPr>
              <w:rPr>
                <w:rFonts w:cstheme="minorHAnsi"/>
              </w:rPr>
            </w:pPr>
            <w:r w:rsidRPr="00E8720E">
              <w:rPr>
                <w:rFonts w:cstheme="minorHAnsi"/>
              </w:rPr>
              <w:t>Written thesis</w:t>
            </w:r>
          </w:p>
        </w:tc>
        <w:tc>
          <w:tcPr>
            <w:tcW w:w="1962" w:type="dxa"/>
          </w:tcPr>
          <w:p w:rsidR="003978C1" w:rsidRPr="00E8720E" w:rsidRDefault="003978C1" w:rsidP="005D40D5">
            <w:pPr>
              <w:rPr>
                <w:rFonts w:cstheme="minorHAnsi"/>
              </w:rPr>
            </w:pPr>
            <w:r w:rsidRPr="00E8720E">
              <w:rPr>
                <w:rFonts w:cstheme="minorHAnsi"/>
              </w:rPr>
              <w:t>Format set by departments</w:t>
            </w:r>
          </w:p>
        </w:tc>
        <w:tc>
          <w:tcPr>
            <w:tcW w:w="1962" w:type="dxa"/>
          </w:tcPr>
          <w:p w:rsidR="003978C1" w:rsidRPr="00E8720E" w:rsidRDefault="003978C1" w:rsidP="005D40D5">
            <w:pPr>
              <w:rPr>
                <w:rFonts w:cstheme="minorHAnsi"/>
              </w:rPr>
            </w:pPr>
            <w:r w:rsidRPr="00E8720E">
              <w:rPr>
                <w:rFonts w:cstheme="minorHAnsi"/>
              </w:rPr>
              <w:t>Format set by departments</w:t>
            </w:r>
          </w:p>
        </w:tc>
        <w:tc>
          <w:tcPr>
            <w:tcW w:w="1962" w:type="dxa"/>
          </w:tcPr>
          <w:p w:rsidR="003978C1" w:rsidRPr="00E8720E" w:rsidRDefault="003978C1" w:rsidP="005D40D5">
            <w:pPr>
              <w:rPr>
                <w:rFonts w:cstheme="minorHAnsi"/>
              </w:rPr>
            </w:pPr>
            <w:r w:rsidRPr="00E8720E">
              <w:rPr>
                <w:rFonts w:cstheme="minorHAnsi"/>
              </w:rPr>
              <w:t>Format set by departments</w:t>
            </w:r>
          </w:p>
        </w:tc>
        <w:tc>
          <w:tcPr>
            <w:tcW w:w="1962" w:type="dxa"/>
          </w:tcPr>
          <w:p w:rsidR="003978C1" w:rsidRPr="00E8720E" w:rsidRDefault="003978C1" w:rsidP="005D40D5">
            <w:pPr>
              <w:rPr>
                <w:rFonts w:cstheme="minorHAnsi"/>
              </w:rPr>
            </w:pPr>
            <w:r w:rsidRPr="00E8720E">
              <w:rPr>
                <w:rFonts w:cstheme="minorHAnsi"/>
              </w:rPr>
              <w:t>Format set by departments</w:t>
            </w:r>
          </w:p>
        </w:tc>
      </w:tr>
      <w:tr w:rsidR="003978C1" w:rsidRPr="00E8720E" w:rsidTr="006630F7">
        <w:tc>
          <w:tcPr>
            <w:tcW w:w="1728" w:type="dxa"/>
          </w:tcPr>
          <w:p w:rsidR="003978C1" w:rsidRPr="00E8720E" w:rsidRDefault="003F7933" w:rsidP="005D40D5">
            <w:pPr>
              <w:rPr>
                <w:rFonts w:cstheme="minorHAnsi"/>
              </w:rPr>
            </w:pPr>
            <w:r w:rsidRPr="00E8720E">
              <w:rPr>
                <w:rFonts w:cstheme="minorHAnsi"/>
              </w:rPr>
              <w:t xml:space="preserve">Thesis course credits </w:t>
            </w:r>
            <w:r w:rsidR="000522FC" w:rsidRPr="00E8720E">
              <w:rPr>
                <w:rFonts w:cstheme="minorHAnsi"/>
              </w:rPr>
              <w:t>for quarters &amp; semesters</w:t>
            </w:r>
            <w:r w:rsidR="00E8720E" w:rsidRPr="00E8720E">
              <w:rPr>
                <w:rFonts w:cstheme="minorHAnsi"/>
                <w:vertAlign w:val="superscript"/>
              </w:rPr>
              <w:t>3</w:t>
            </w:r>
          </w:p>
          <w:p w:rsidR="003978C1" w:rsidRPr="00E8720E" w:rsidRDefault="003978C1" w:rsidP="005D40D5">
            <w:pPr>
              <w:rPr>
                <w:rFonts w:cstheme="minorHAnsi"/>
              </w:rPr>
            </w:pPr>
          </w:p>
        </w:tc>
        <w:tc>
          <w:tcPr>
            <w:tcW w:w="1962" w:type="dxa"/>
          </w:tcPr>
          <w:p w:rsidR="006630F7" w:rsidRDefault="003978C1" w:rsidP="005D40D5">
            <w:pPr>
              <w:rPr>
                <w:rFonts w:cstheme="minorHAnsi"/>
              </w:rPr>
            </w:pPr>
            <w:r w:rsidRPr="00E8720E">
              <w:rPr>
                <w:rFonts w:cstheme="minorHAnsi"/>
              </w:rPr>
              <w:t xml:space="preserve">At least 6 </w:t>
            </w:r>
            <w:proofErr w:type="gramStart"/>
            <w:r w:rsidRPr="00E8720E">
              <w:rPr>
                <w:rFonts w:cstheme="minorHAnsi"/>
              </w:rPr>
              <w:t>credits</w:t>
            </w:r>
            <w:proofErr w:type="gramEnd"/>
            <w:r w:rsidRPr="00E8720E">
              <w:rPr>
                <w:rFonts w:cstheme="minorHAnsi"/>
              </w:rPr>
              <w:t xml:space="preserve"> of</w:t>
            </w:r>
            <w:r w:rsidR="00276448" w:rsidRPr="00E8720E">
              <w:rPr>
                <w:rFonts w:cstheme="minorHAnsi"/>
              </w:rPr>
              <w:t xml:space="preserve"> research thesis course</w:t>
            </w:r>
            <w:r w:rsidR="000522FC" w:rsidRPr="00E8720E">
              <w:rPr>
                <w:rFonts w:cstheme="minorHAnsi"/>
              </w:rPr>
              <w:t>s</w:t>
            </w:r>
            <w:r w:rsidR="00276448" w:rsidRPr="00E8720E">
              <w:rPr>
                <w:rFonts w:cstheme="minorHAnsi"/>
              </w:rPr>
              <w:t>, using</w:t>
            </w:r>
            <w:r w:rsidRPr="00E8720E">
              <w:rPr>
                <w:rFonts w:cstheme="minorHAnsi"/>
              </w:rPr>
              <w:t xml:space="preserve"> 783H until Summer 201</w:t>
            </w:r>
            <w:r w:rsidR="006630F7">
              <w:rPr>
                <w:rFonts w:cstheme="minorHAnsi"/>
              </w:rPr>
              <w:t>2.</w:t>
            </w:r>
          </w:p>
          <w:p w:rsidR="003978C1" w:rsidRPr="00E8720E" w:rsidRDefault="006630F7" w:rsidP="005D40D5">
            <w:pPr>
              <w:rPr>
                <w:rFonts w:cstheme="minorHAnsi"/>
              </w:rPr>
            </w:pPr>
            <w:r>
              <w:rPr>
                <w:rFonts w:cstheme="minorHAnsi"/>
              </w:rPr>
              <w:t>A</w:t>
            </w:r>
            <w:r w:rsidR="00276448" w:rsidRPr="00E8720E">
              <w:rPr>
                <w:rFonts w:cstheme="minorHAnsi"/>
              </w:rPr>
              <w:t>t least 4 credits with semesters</w:t>
            </w:r>
            <w:r w:rsidR="000522FC" w:rsidRPr="00E8720E">
              <w:rPr>
                <w:rFonts w:cstheme="minorHAnsi"/>
              </w:rPr>
              <w:t xml:space="preserve">; course numbers </w:t>
            </w:r>
            <w:r w:rsidR="003978C1" w:rsidRPr="00E8720E">
              <w:rPr>
                <w:rFonts w:cstheme="minorHAnsi"/>
              </w:rPr>
              <w:t>4999 (or 3999, 2999).</w:t>
            </w:r>
          </w:p>
        </w:tc>
        <w:tc>
          <w:tcPr>
            <w:tcW w:w="1962" w:type="dxa"/>
          </w:tcPr>
          <w:p w:rsidR="003978C1" w:rsidRPr="00E8720E" w:rsidRDefault="003978C1" w:rsidP="005D40D5">
            <w:pPr>
              <w:rPr>
                <w:rFonts w:cstheme="minorHAnsi"/>
              </w:rPr>
            </w:pPr>
            <w:r w:rsidRPr="00E8720E">
              <w:rPr>
                <w:rFonts w:cstheme="minorHAnsi"/>
              </w:rPr>
              <w:t>At least 8 credits of research thesis course</w:t>
            </w:r>
            <w:r w:rsidR="00276448" w:rsidRPr="00E8720E">
              <w:rPr>
                <w:rFonts w:cstheme="minorHAnsi"/>
              </w:rPr>
              <w:t>.</w:t>
            </w:r>
          </w:p>
        </w:tc>
        <w:tc>
          <w:tcPr>
            <w:tcW w:w="1962" w:type="dxa"/>
          </w:tcPr>
          <w:p w:rsidR="006630F7" w:rsidRDefault="000522FC" w:rsidP="005D40D5">
            <w:pPr>
              <w:rPr>
                <w:rFonts w:cstheme="minorHAnsi"/>
              </w:rPr>
            </w:pPr>
            <w:r w:rsidRPr="00E8720E">
              <w:rPr>
                <w:rFonts w:cstheme="minorHAnsi"/>
              </w:rPr>
              <w:t xml:space="preserve">At least 6 </w:t>
            </w:r>
            <w:proofErr w:type="gramStart"/>
            <w:r w:rsidRPr="00E8720E">
              <w:rPr>
                <w:rFonts w:cstheme="minorHAnsi"/>
              </w:rPr>
              <w:t>credits</w:t>
            </w:r>
            <w:proofErr w:type="gramEnd"/>
            <w:r w:rsidRPr="00E8720E">
              <w:rPr>
                <w:rFonts w:cstheme="minorHAnsi"/>
              </w:rPr>
              <w:t xml:space="preserve"> of research thesis courses, using 783H until Summer 201</w:t>
            </w:r>
            <w:r w:rsidR="006630F7">
              <w:rPr>
                <w:rFonts w:cstheme="minorHAnsi"/>
              </w:rPr>
              <w:t>2.</w:t>
            </w:r>
          </w:p>
          <w:p w:rsidR="00F849DE" w:rsidRPr="00E8720E" w:rsidRDefault="006630F7" w:rsidP="005D40D5">
            <w:pPr>
              <w:rPr>
                <w:rFonts w:cstheme="minorHAnsi"/>
              </w:rPr>
            </w:pPr>
            <w:r>
              <w:rPr>
                <w:rFonts w:cstheme="minorHAnsi"/>
              </w:rPr>
              <w:t>A</w:t>
            </w:r>
            <w:r w:rsidR="000522FC" w:rsidRPr="00E8720E">
              <w:rPr>
                <w:rFonts w:cstheme="minorHAnsi"/>
              </w:rPr>
              <w:t>t least 4 credits with semesters; course numbers 4999</w:t>
            </w:r>
            <w:r>
              <w:rPr>
                <w:rFonts w:cstheme="minorHAnsi"/>
              </w:rPr>
              <w:t>-</w:t>
            </w:r>
            <w:r w:rsidR="00E8720E" w:rsidRPr="00E8720E">
              <w:rPr>
                <w:rFonts w:cstheme="minorHAnsi"/>
              </w:rPr>
              <w:t>H</w:t>
            </w:r>
            <w:r w:rsidR="000522FC" w:rsidRPr="00E8720E">
              <w:rPr>
                <w:rFonts w:cstheme="minorHAnsi"/>
              </w:rPr>
              <w:t xml:space="preserve"> (or 3999</w:t>
            </w:r>
            <w:r>
              <w:rPr>
                <w:rFonts w:cstheme="minorHAnsi"/>
              </w:rPr>
              <w:t>-</w:t>
            </w:r>
            <w:r w:rsidR="00E8720E" w:rsidRPr="00E8720E">
              <w:rPr>
                <w:rFonts w:cstheme="minorHAnsi"/>
              </w:rPr>
              <w:t>H</w:t>
            </w:r>
            <w:r w:rsidR="000522FC" w:rsidRPr="00E8720E">
              <w:rPr>
                <w:rFonts w:cstheme="minorHAnsi"/>
              </w:rPr>
              <w:t>, 2999</w:t>
            </w:r>
            <w:r>
              <w:rPr>
                <w:rFonts w:cstheme="minorHAnsi"/>
              </w:rPr>
              <w:t>-</w:t>
            </w:r>
            <w:r w:rsidR="00E8720E" w:rsidRPr="00E8720E">
              <w:rPr>
                <w:rFonts w:cstheme="minorHAnsi"/>
              </w:rPr>
              <w:t>H</w:t>
            </w:r>
            <w:r w:rsidR="000522FC" w:rsidRPr="00E8720E">
              <w:rPr>
                <w:rFonts w:cstheme="minorHAnsi"/>
              </w:rPr>
              <w:t>).</w:t>
            </w:r>
          </w:p>
        </w:tc>
        <w:tc>
          <w:tcPr>
            <w:tcW w:w="1962" w:type="dxa"/>
          </w:tcPr>
          <w:p w:rsidR="006630F7" w:rsidRDefault="000522FC" w:rsidP="005D40D5">
            <w:pPr>
              <w:rPr>
                <w:rFonts w:cstheme="minorHAnsi"/>
              </w:rPr>
            </w:pPr>
            <w:r w:rsidRPr="00E8720E">
              <w:rPr>
                <w:rFonts w:cstheme="minorHAnsi"/>
              </w:rPr>
              <w:t xml:space="preserve">At least 6 </w:t>
            </w:r>
            <w:proofErr w:type="gramStart"/>
            <w:r w:rsidRPr="00E8720E">
              <w:rPr>
                <w:rFonts w:cstheme="minorHAnsi"/>
              </w:rPr>
              <w:t>credits</w:t>
            </w:r>
            <w:proofErr w:type="gramEnd"/>
            <w:r w:rsidRPr="00E8720E">
              <w:rPr>
                <w:rFonts w:cstheme="minorHAnsi"/>
              </w:rPr>
              <w:t xml:space="preserve"> of research thesis courses, using 783H until Summer 201</w:t>
            </w:r>
            <w:r w:rsidR="006630F7">
              <w:rPr>
                <w:rFonts w:cstheme="minorHAnsi"/>
              </w:rPr>
              <w:t xml:space="preserve">2.  </w:t>
            </w:r>
          </w:p>
          <w:p w:rsidR="003978C1" w:rsidRPr="00E8720E" w:rsidRDefault="006630F7" w:rsidP="005D40D5">
            <w:pPr>
              <w:rPr>
                <w:rFonts w:cstheme="minorHAnsi"/>
              </w:rPr>
            </w:pPr>
            <w:r>
              <w:rPr>
                <w:rFonts w:cstheme="minorHAnsi"/>
              </w:rPr>
              <w:t>A</w:t>
            </w:r>
            <w:r w:rsidR="000522FC" w:rsidRPr="00E8720E">
              <w:rPr>
                <w:rFonts w:cstheme="minorHAnsi"/>
              </w:rPr>
              <w:t>t least 4 credits with semesters; course numbers 4999</w:t>
            </w:r>
            <w:r>
              <w:rPr>
                <w:rFonts w:cstheme="minorHAnsi"/>
              </w:rPr>
              <w:t>-</w:t>
            </w:r>
            <w:r w:rsidR="00E8720E" w:rsidRPr="00E8720E">
              <w:rPr>
                <w:rFonts w:cstheme="minorHAnsi"/>
              </w:rPr>
              <w:t>H</w:t>
            </w:r>
            <w:r w:rsidR="000522FC" w:rsidRPr="00E8720E">
              <w:rPr>
                <w:rFonts w:cstheme="minorHAnsi"/>
              </w:rPr>
              <w:t xml:space="preserve"> (or 3999</w:t>
            </w:r>
            <w:r>
              <w:rPr>
                <w:rFonts w:cstheme="minorHAnsi"/>
              </w:rPr>
              <w:t>-</w:t>
            </w:r>
            <w:r w:rsidR="00E8720E" w:rsidRPr="00E8720E">
              <w:rPr>
                <w:rFonts w:cstheme="minorHAnsi"/>
              </w:rPr>
              <w:t>H</w:t>
            </w:r>
            <w:r w:rsidR="000522FC" w:rsidRPr="00E8720E">
              <w:rPr>
                <w:rFonts w:cstheme="minorHAnsi"/>
              </w:rPr>
              <w:t>, 2999</w:t>
            </w:r>
            <w:r>
              <w:rPr>
                <w:rFonts w:cstheme="minorHAnsi"/>
              </w:rPr>
              <w:t>-</w:t>
            </w:r>
            <w:r w:rsidR="00E8720E" w:rsidRPr="00E8720E">
              <w:rPr>
                <w:rFonts w:cstheme="minorHAnsi"/>
              </w:rPr>
              <w:t>H</w:t>
            </w:r>
            <w:r w:rsidR="000522FC" w:rsidRPr="00E8720E">
              <w:rPr>
                <w:rFonts w:cstheme="minorHAnsi"/>
              </w:rPr>
              <w:t>).</w:t>
            </w:r>
          </w:p>
        </w:tc>
      </w:tr>
      <w:tr w:rsidR="003978C1" w:rsidRPr="00E8720E" w:rsidTr="006630F7">
        <w:tc>
          <w:tcPr>
            <w:tcW w:w="1728" w:type="dxa"/>
          </w:tcPr>
          <w:p w:rsidR="003978C1" w:rsidRPr="00E8720E" w:rsidRDefault="003978C1" w:rsidP="005D40D5">
            <w:pPr>
              <w:rPr>
                <w:rFonts w:cstheme="minorHAnsi"/>
              </w:rPr>
            </w:pPr>
            <w:r w:rsidRPr="00E8720E">
              <w:rPr>
                <w:rFonts w:cstheme="minorHAnsi"/>
              </w:rPr>
              <w:t xml:space="preserve">Number of graded OSU hours </w:t>
            </w:r>
          </w:p>
        </w:tc>
        <w:tc>
          <w:tcPr>
            <w:tcW w:w="1962" w:type="dxa"/>
          </w:tcPr>
          <w:p w:rsidR="003978C1" w:rsidRPr="00E8720E" w:rsidRDefault="006630F7" w:rsidP="005D40D5">
            <w:pPr>
              <w:rPr>
                <w:rFonts w:cstheme="minorHAnsi"/>
              </w:rPr>
            </w:pPr>
            <w:r>
              <w:rPr>
                <w:rFonts w:cstheme="minorHAnsi"/>
              </w:rPr>
              <w:t>A</w:t>
            </w:r>
            <w:r w:rsidR="00276448" w:rsidRPr="00E8720E">
              <w:rPr>
                <w:rFonts w:cstheme="minorHAnsi"/>
              </w:rPr>
              <w:t>t least 90 hours (60 hours with</w:t>
            </w:r>
            <w:r w:rsidR="003978C1" w:rsidRPr="00E8720E">
              <w:rPr>
                <w:rFonts w:cstheme="minorHAnsi"/>
              </w:rPr>
              <w:t xml:space="preserve"> semesters)</w:t>
            </w:r>
          </w:p>
        </w:tc>
        <w:tc>
          <w:tcPr>
            <w:tcW w:w="1962" w:type="dxa"/>
          </w:tcPr>
          <w:p w:rsidR="003978C1" w:rsidRPr="00E8720E" w:rsidRDefault="006630F7" w:rsidP="005D40D5">
            <w:pPr>
              <w:rPr>
                <w:rFonts w:cstheme="minorHAnsi"/>
              </w:rPr>
            </w:pPr>
            <w:r>
              <w:rPr>
                <w:rFonts w:cstheme="minorHAnsi"/>
              </w:rPr>
              <w:t>A</w:t>
            </w:r>
            <w:r w:rsidR="00276448" w:rsidRPr="00E8720E">
              <w:rPr>
                <w:rFonts w:cstheme="minorHAnsi"/>
              </w:rPr>
              <w:t xml:space="preserve">t least 90 hours (60 hours with </w:t>
            </w:r>
            <w:r w:rsidR="003978C1" w:rsidRPr="00E8720E">
              <w:rPr>
                <w:rFonts w:cstheme="minorHAnsi"/>
              </w:rPr>
              <w:t>semesters)</w:t>
            </w:r>
          </w:p>
        </w:tc>
        <w:tc>
          <w:tcPr>
            <w:tcW w:w="1962" w:type="dxa"/>
          </w:tcPr>
          <w:p w:rsidR="003978C1" w:rsidRPr="00E8720E" w:rsidRDefault="006630F7" w:rsidP="005D40D5">
            <w:pPr>
              <w:rPr>
                <w:rFonts w:cstheme="minorHAnsi"/>
              </w:rPr>
            </w:pPr>
            <w:r>
              <w:rPr>
                <w:rFonts w:cstheme="minorHAnsi"/>
              </w:rPr>
              <w:t>A</w:t>
            </w:r>
            <w:r w:rsidR="00276448" w:rsidRPr="00E8720E">
              <w:rPr>
                <w:rFonts w:cstheme="minorHAnsi"/>
              </w:rPr>
              <w:t xml:space="preserve">t least 90 hours (60 hours with </w:t>
            </w:r>
            <w:r w:rsidR="00F849DE" w:rsidRPr="00E8720E">
              <w:rPr>
                <w:rFonts w:cstheme="minorHAnsi"/>
              </w:rPr>
              <w:t>semesters)</w:t>
            </w:r>
          </w:p>
        </w:tc>
        <w:tc>
          <w:tcPr>
            <w:tcW w:w="1962" w:type="dxa"/>
          </w:tcPr>
          <w:p w:rsidR="003978C1" w:rsidRPr="00E8720E" w:rsidRDefault="006630F7" w:rsidP="005D40D5">
            <w:pPr>
              <w:rPr>
                <w:rFonts w:cstheme="minorHAnsi"/>
              </w:rPr>
            </w:pPr>
            <w:r>
              <w:rPr>
                <w:rFonts w:cstheme="minorHAnsi"/>
              </w:rPr>
              <w:t>A</w:t>
            </w:r>
            <w:r w:rsidR="003978C1" w:rsidRPr="00E8720E">
              <w:rPr>
                <w:rFonts w:cstheme="minorHAnsi"/>
              </w:rPr>
              <w:t>t least 90 hour</w:t>
            </w:r>
            <w:r w:rsidR="00276448" w:rsidRPr="00E8720E">
              <w:rPr>
                <w:rFonts w:cstheme="minorHAnsi"/>
              </w:rPr>
              <w:t xml:space="preserve">s (60 hours with </w:t>
            </w:r>
            <w:r w:rsidR="003978C1" w:rsidRPr="00E8720E">
              <w:rPr>
                <w:rFonts w:cstheme="minorHAnsi"/>
              </w:rPr>
              <w:t>semesters)</w:t>
            </w:r>
          </w:p>
        </w:tc>
      </w:tr>
    </w:tbl>
    <w:p w:rsidR="005D40D5" w:rsidRPr="00E8720E" w:rsidRDefault="005D40D5" w:rsidP="005D40D5">
      <w:pPr>
        <w:spacing w:after="0" w:line="240" w:lineRule="auto"/>
        <w:rPr>
          <w:rFonts w:cstheme="minorHAnsi"/>
        </w:rPr>
      </w:pPr>
    </w:p>
    <w:p w:rsidR="00E80FC5" w:rsidRPr="00E8720E" w:rsidRDefault="00F849DE" w:rsidP="005D40D5">
      <w:pPr>
        <w:spacing w:after="0" w:line="240" w:lineRule="auto"/>
        <w:rPr>
          <w:rFonts w:cstheme="minorHAnsi"/>
        </w:rPr>
      </w:pPr>
      <w:r w:rsidRPr="00E8720E">
        <w:rPr>
          <w:rFonts w:cstheme="minorHAnsi"/>
          <w:vertAlign w:val="superscript"/>
        </w:rPr>
        <w:t>1</w:t>
      </w:r>
      <w:r w:rsidR="00351172" w:rsidRPr="00E8720E">
        <w:rPr>
          <w:rFonts w:cstheme="minorHAnsi"/>
        </w:rPr>
        <w:t>Not including Mathematics, which has different requirements.</w:t>
      </w:r>
    </w:p>
    <w:p w:rsidR="00EE093A" w:rsidRPr="00E8720E" w:rsidRDefault="00EE093A" w:rsidP="005D40D5">
      <w:pPr>
        <w:spacing w:after="0" w:line="240" w:lineRule="auto"/>
        <w:rPr>
          <w:rFonts w:cstheme="minorHAnsi"/>
        </w:rPr>
      </w:pPr>
    </w:p>
    <w:p w:rsidR="00EE093A" w:rsidRPr="00E8720E" w:rsidRDefault="00F849DE" w:rsidP="005D699E">
      <w:pPr>
        <w:spacing w:after="0" w:line="240" w:lineRule="auto"/>
        <w:rPr>
          <w:rFonts w:cstheme="minorHAnsi"/>
        </w:rPr>
      </w:pPr>
      <w:r w:rsidRPr="00E8720E">
        <w:rPr>
          <w:rFonts w:cstheme="minorHAnsi"/>
          <w:vertAlign w:val="superscript"/>
        </w:rPr>
        <w:t>2</w:t>
      </w:r>
      <w:r w:rsidR="00EE093A" w:rsidRPr="00E8720E">
        <w:rPr>
          <w:rFonts w:cstheme="minorHAnsi"/>
        </w:rPr>
        <w:t xml:space="preserve">GPA </w:t>
      </w:r>
      <w:r w:rsidR="005D699E" w:rsidRPr="00E8720E">
        <w:rPr>
          <w:rFonts w:cstheme="minorHAnsi"/>
        </w:rPr>
        <w:t>in major –</w:t>
      </w:r>
      <w:r w:rsidR="00EE093A" w:rsidRPr="00E8720E">
        <w:rPr>
          <w:rFonts w:cstheme="minorHAnsi"/>
        </w:rPr>
        <w:t xml:space="preserve"> </w:t>
      </w:r>
      <w:r w:rsidR="006205D3" w:rsidRPr="00E8720E">
        <w:rPr>
          <w:rFonts w:cstheme="minorHAnsi"/>
        </w:rPr>
        <w:t xml:space="preserve">Only a few </w:t>
      </w:r>
      <w:r w:rsidR="000D29B1" w:rsidRPr="00E8720E">
        <w:rPr>
          <w:rFonts w:cstheme="minorHAnsi"/>
        </w:rPr>
        <w:t xml:space="preserve">ASC </w:t>
      </w:r>
      <w:r w:rsidR="006205D3" w:rsidRPr="00E8720E">
        <w:rPr>
          <w:rFonts w:cstheme="minorHAnsi"/>
        </w:rPr>
        <w:t xml:space="preserve">departments specify a minimum GPA in the major.  These are </w:t>
      </w:r>
      <w:r w:rsidR="005D699E" w:rsidRPr="00E8720E">
        <w:rPr>
          <w:rFonts w:cstheme="minorHAnsi"/>
        </w:rPr>
        <w:t xml:space="preserve">3.3 in Sociology; 3.5 in Anthropology, Geography, Philosophy, Political Sci., and Psychology; </w:t>
      </w:r>
      <w:r w:rsidR="006205D3" w:rsidRPr="00E8720E">
        <w:rPr>
          <w:rFonts w:cstheme="minorHAnsi"/>
        </w:rPr>
        <w:t xml:space="preserve">and </w:t>
      </w:r>
      <w:r w:rsidR="005D699E" w:rsidRPr="00E8720E">
        <w:rPr>
          <w:rFonts w:cstheme="minorHAnsi"/>
        </w:rPr>
        <w:t>3.</w:t>
      </w:r>
      <w:r w:rsidR="00276448" w:rsidRPr="00E8720E">
        <w:rPr>
          <w:rFonts w:cstheme="minorHAnsi"/>
        </w:rPr>
        <w:t>6 in English.  We will ask these departments for permission to delete this requirement.</w:t>
      </w:r>
    </w:p>
    <w:p w:rsidR="005D699E" w:rsidRPr="00E8720E" w:rsidRDefault="005D699E" w:rsidP="005D40D5">
      <w:pPr>
        <w:spacing w:after="0" w:line="240" w:lineRule="auto"/>
        <w:rPr>
          <w:rFonts w:cstheme="minorHAnsi"/>
        </w:rPr>
      </w:pPr>
    </w:p>
    <w:p w:rsidR="00E8720E" w:rsidRPr="00E8720E" w:rsidRDefault="00E8720E" w:rsidP="005D40D5">
      <w:pPr>
        <w:spacing w:after="0" w:line="240" w:lineRule="auto"/>
        <w:rPr>
          <w:rFonts w:cstheme="minorHAnsi"/>
        </w:rPr>
      </w:pPr>
      <w:r w:rsidRPr="00E8720E">
        <w:rPr>
          <w:rFonts w:cstheme="minorHAnsi"/>
          <w:vertAlign w:val="superscript"/>
        </w:rPr>
        <w:t>3</w:t>
      </w:r>
      <w:r w:rsidRPr="00E8720E">
        <w:rPr>
          <w:rFonts w:cstheme="minorHAnsi"/>
        </w:rPr>
        <w:t>Some departments have additional course requirements for Honors theses.</w:t>
      </w:r>
    </w:p>
    <w:p w:rsidR="005D699E" w:rsidRPr="00E8720E" w:rsidRDefault="005D699E" w:rsidP="005D699E">
      <w:pPr>
        <w:spacing w:after="0" w:line="240" w:lineRule="auto"/>
        <w:rPr>
          <w:rFonts w:cstheme="minorHAnsi"/>
        </w:rPr>
      </w:pPr>
    </w:p>
    <w:p w:rsidR="00E8720E" w:rsidRDefault="00276448" w:rsidP="00E8720E">
      <w:pPr>
        <w:pStyle w:val="CommentText"/>
        <w:rPr>
          <w:sz w:val="22"/>
          <w:szCs w:val="22"/>
        </w:rPr>
      </w:pPr>
      <w:r w:rsidRPr="00E8720E">
        <w:rPr>
          <w:sz w:val="22"/>
          <w:szCs w:val="22"/>
        </w:rPr>
        <w:lastRenderedPageBreak/>
        <w:t xml:space="preserve">Note - </w:t>
      </w:r>
      <w:r w:rsidR="00C040C8" w:rsidRPr="00E8720E">
        <w:rPr>
          <w:sz w:val="22"/>
          <w:szCs w:val="22"/>
        </w:rPr>
        <w:t>Many ASC depa</w:t>
      </w:r>
      <w:r w:rsidR="00B1523B" w:rsidRPr="00E8720E">
        <w:rPr>
          <w:sz w:val="22"/>
          <w:szCs w:val="22"/>
        </w:rPr>
        <w:t xml:space="preserve">rtmental 783H listings </w:t>
      </w:r>
      <w:r w:rsidR="00C040C8" w:rsidRPr="00E8720E">
        <w:rPr>
          <w:sz w:val="22"/>
          <w:szCs w:val="22"/>
        </w:rPr>
        <w:t>refer to the 4</w:t>
      </w:r>
      <w:r w:rsidR="00C040C8" w:rsidRPr="00E8720E">
        <w:rPr>
          <w:sz w:val="22"/>
          <w:szCs w:val="22"/>
          <w:vertAlign w:val="superscript"/>
        </w:rPr>
        <w:t>th</w:t>
      </w:r>
      <w:r w:rsidR="00C040C8" w:rsidRPr="00E8720E">
        <w:rPr>
          <w:sz w:val="22"/>
          <w:szCs w:val="22"/>
        </w:rPr>
        <w:t xml:space="preserve"> </w:t>
      </w:r>
      <w:r w:rsidR="006630F7">
        <w:rPr>
          <w:sz w:val="22"/>
          <w:szCs w:val="22"/>
        </w:rPr>
        <w:t>year standing pre-requisite and</w:t>
      </w:r>
      <w:r w:rsidR="00C040C8" w:rsidRPr="00E8720E">
        <w:rPr>
          <w:sz w:val="22"/>
          <w:szCs w:val="22"/>
        </w:rPr>
        <w:t xml:space="preserve"> also to a specific grade or GPA requirement as part of the pre-requisite to enrolli</w:t>
      </w:r>
      <w:r w:rsidR="00EE093A" w:rsidRPr="00E8720E">
        <w:rPr>
          <w:sz w:val="22"/>
          <w:szCs w:val="22"/>
        </w:rPr>
        <w:t>ng in 783H credits. Neither has</w:t>
      </w:r>
      <w:r w:rsidR="00C040C8" w:rsidRPr="00E8720E">
        <w:rPr>
          <w:sz w:val="22"/>
          <w:szCs w:val="22"/>
        </w:rPr>
        <w:t xml:space="preserve"> been enforced by departments.</w:t>
      </w:r>
      <w:r w:rsidR="00E8720E">
        <w:rPr>
          <w:sz w:val="22"/>
          <w:szCs w:val="22"/>
        </w:rPr>
        <w:t xml:space="preserve">  </w:t>
      </w:r>
      <w:r w:rsidR="00B1523B" w:rsidRPr="00E8720E">
        <w:rPr>
          <w:sz w:val="22"/>
          <w:szCs w:val="22"/>
        </w:rPr>
        <w:t>We should c</w:t>
      </w:r>
      <w:r w:rsidR="00EE093A" w:rsidRPr="00E8720E">
        <w:rPr>
          <w:sz w:val="22"/>
          <w:szCs w:val="22"/>
        </w:rPr>
        <w:t>heck with departments about eliminating this GPA requirement for enrolling in 783H, and deferring to the GPA requirement for completing an Honors thesis.</w:t>
      </w:r>
    </w:p>
    <w:p w:rsidR="001A03B8" w:rsidRDefault="001A03B8" w:rsidP="00E8720E">
      <w:pPr>
        <w:pStyle w:val="CommentText"/>
        <w:rPr>
          <w:sz w:val="22"/>
          <w:szCs w:val="22"/>
        </w:rPr>
      </w:pPr>
    </w:p>
    <w:p w:rsidR="003065C0" w:rsidRPr="00E8720E" w:rsidRDefault="00027A9A" w:rsidP="00E8720E">
      <w:pPr>
        <w:pStyle w:val="CommentText"/>
        <w:numPr>
          <w:ilvl w:val="0"/>
          <w:numId w:val="2"/>
        </w:numPr>
        <w:rPr>
          <w:sz w:val="22"/>
          <w:szCs w:val="22"/>
        </w:rPr>
      </w:pPr>
      <w:r w:rsidRPr="00E8720E">
        <w:rPr>
          <w:rFonts w:cstheme="minorHAnsi"/>
          <w:b/>
          <w:sz w:val="24"/>
          <w:szCs w:val="24"/>
        </w:rPr>
        <w:t>Definitio</w:t>
      </w:r>
      <w:r w:rsidR="00616914" w:rsidRPr="00E8720E">
        <w:rPr>
          <w:rFonts w:cstheme="minorHAnsi"/>
          <w:b/>
          <w:sz w:val="24"/>
          <w:szCs w:val="24"/>
        </w:rPr>
        <w:t>ns of “</w:t>
      </w:r>
      <w:r w:rsidRPr="00E8720E">
        <w:rPr>
          <w:rFonts w:cstheme="minorHAnsi"/>
          <w:b/>
          <w:sz w:val="24"/>
          <w:szCs w:val="24"/>
        </w:rPr>
        <w:t>Faculty”</w:t>
      </w:r>
      <w:r w:rsidR="00616914" w:rsidRPr="00E8720E">
        <w:rPr>
          <w:rFonts w:cstheme="minorHAnsi"/>
          <w:sz w:val="24"/>
          <w:szCs w:val="24"/>
        </w:rPr>
        <w:t xml:space="preserve"> – </w:t>
      </w:r>
    </w:p>
    <w:p w:rsidR="00616914" w:rsidRPr="00E8720E" w:rsidRDefault="00616914" w:rsidP="00616914">
      <w:pPr>
        <w:shd w:val="clear" w:color="auto" w:fill="FFFFFF"/>
        <w:spacing w:before="225" w:after="225" w:line="324" w:lineRule="auto"/>
        <w:rPr>
          <w:rFonts w:ascii="Arial" w:eastAsia="Times New Roman" w:hAnsi="Arial" w:cs="Arial"/>
          <w:bCs/>
          <w:color w:val="000000"/>
          <w:sz w:val="20"/>
          <w:szCs w:val="20"/>
        </w:rPr>
      </w:pPr>
      <w:proofErr w:type="gramStart"/>
      <w:r w:rsidRPr="00E8720E">
        <w:rPr>
          <w:rFonts w:ascii="Arial" w:eastAsia="Times New Roman" w:hAnsi="Arial" w:cs="Arial"/>
          <w:bCs/>
          <w:color w:val="000000"/>
          <w:sz w:val="20"/>
          <w:szCs w:val="20"/>
        </w:rPr>
        <w:t>University Rule 3335-5-19 Faculty.</w:t>
      </w:r>
      <w:proofErr w:type="gramEnd"/>
    </w:p>
    <w:p w:rsidR="00616914" w:rsidRPr="00616914" w:rsidRDefault="00616914" w:rsidP="00616914">
      <w:pPr>
        <w:shd w:val="clear" w:color="auto" w:fill="FFFFFF"/>
        <w:spacing w:before="225" w:after="225" w:line="324" w:lineRule="auto"/>
        <w:rPr>
          <w:rFonts w:ascii="Georgia" w:eastAsia="Times New Roman" w:hAnsi="Georgia" w:cs="Times New Roman"/>
          <w:color w:val="000000"/>
          <w:sz w:val="20"/>
          <w:szCs w:val="20"/>
        </w:rPr>
      </w:pPr>
      <w:hyperlink r:id="rId8" w:history="1">
        <w:r w:rsidRPr="00E8720E">
          <w:rPr>
            <w:rStyle w:val="Hyperlink"/>
            <w:rFonts w:ascii="Georgia" w:eastAsia="Times New Roman" w:hAnsi="Georgia" w:cs="Times New Roman"/>
            <w:sz w:val="20"/>
            <w:szCs w:val="20"/>
          </w:rPr>
          <w:t>http://trustees.osu.edu/rules5/ru5-19.php</w:t>
        </w:r>
      </w:hyperlink>
      <w:r w:rsidRPr="00E8720E">
        <w:rPr>
          <w:rFonts w:ascii="Georgia" w:eastAsia="Times New Roman" w:hAnsi="Georgia" w:cs="Times New Roman"/>
          <w:color w:val="000000"/>
          <w:sz w:val="20"/>
          <w:szCs w:val="20"/>
        </w:rPr>
        <w:t xml:space="preserve"> </w:t>
      </w:r>
    </w:p>
    <w:p w:rsidR="00616914" w:rsidRPr="00616914" w:rsidRDefault="00616914" w:rsidP="00616914">
      <w:pPr>
        <w:shd w:val="clear" w:color="auto" w:fill="FFFFFF"/>
        <w:spacing w:before="225" w:after="225" w:line="324" w:lineRule="auto"/>
        <w:rPr>
          <w:rFonts w:ascii="Georgia" w:eastAsia="Times New Roman" w:hAnsi="Georgia" w:cs="Times New Roman"/>
          <w:color w:val="000000"/>
          <w:sz w:val="20"/>
          <w:szCs w:val="20"/>
        </w:rPr>
      </w:pPr>
      <w:r w:rsidRPr="00E8720E">
        <w:rPr>
          <w:rFonts w:ascii="Arial" w:eastAsia="Times New Roman" w:hAnsi="Arial" w:cs="Arial"/>
          <w:color w:val="000000"/>
          <w:sz w:val="20"/>
        </w:rPr>
        <w:t xml:space="preserve">As used in these rules the term "faculty" shall include persons appointed by the board of trustees with regular tenure-track, regular clinical, regular research, auxiliary, and emeritus faculty titles on full- or part-time appointments, with or without salary. </w:t>
      </w:r>
    </w:p>
    <w:p w:rsidR="00616914" w:rsidRPr="00616914" w:rsidRDefault="00616914" w:rsidP="00616914">
      <w:pPr>
        <w:shd w:val="clear" w:color="auto" w:fill="FFFFFF"/>
        <w:spacing w:before="225" w:after="225" w:line="324" w:lineRule="auto"/>
        <w:rPr>
          <w:rFonts w:ascii="Georgia" w:eastAsia="Times New Roman" w:hAnsi="Georgia" w:cs="Times New Roman"/>
          <w:color w:val="000000"/>
          <w:sz w:val="20"/>
          <w:szCs w:val="20"/>
        </w:rPr>
      </w:pPr>
      <w:r w:rsidRPr="00E8720E">
        <w:rPr>
          <w:rFonts w:ascii="Arial" w:eastAsia="Times New Roman" w:hAnsi="Arial" w:cs="Arial"/>
          <w:color w:val="000000"/>
          <w:sz w:val="20"/>
        </w:rPr>
        <w:t>(A) "</w:t>
      </w:r>
      <w:r w:rsidRPr="00E8720E">
        <w:rPr>
          <w:rFonts w:ascii="Arial" w:eastAsia="Times New Roman" w:hAnsi="Arial" w:cs="Arial"/>
          <w:b/>
          <w:color w:val="000000"/>
          <w:sz w:val="20"/>
        </w:rPr>
        <w:t>Regular tenure-track faculty</w:t>
      </w:r>
      <w:r w:rsidRPr="00E8720E">
        <w:rPr>
          <w:rFonts w:ascii="Arial" w:eastAsia="Times New Roman" w:hAnsi="Arial" w:cs="Arial"/>
          <w:color w:val="000000"/>
          <w:sz w:val="20"/>
        </w:rPr>
        <w:t xml:space="preserve">": persons with the titles of professor, associate professor, assistant professor, and instructor who serve on appointments totaling fifty per cent or more service to the university. </w:t>
      </w:r>
    </w:p>
    <w:p w:rsidR="00616914" w:rsidRPr="00616914" w:rsidRDefault="00616914" w:rsidP="00616914">
      <w:pPr>
        <w:shd w:val="clear" w:color="auto" w:fill="FFFFFF"/>
        <w:spacing w:before="225" w:after="225" w:line="324" w:lineRule="auto"/>
        <w:rPr>
          <w:rFonts w:ascii="Georgia" w:eastAsia="Times New Roman" w:hAnsi="Georgia" w:cs="Times New Roman"/>
          <w:color w:val="000000"/>
          <w:sz w:val="20"/>
          <w:szCs w:val="20"/>
        </w:rPr>
      </w:pPr>
      <w:r w:rsidRPr="00E8720E">
        <w:rPr>
          <w:rFonts w:ascii="Arial" w:eastAsia="Times New Roman" w:hAnsi="Arial" w:cs="Arial"/>
          <w:color w:val="000000"/>
          <w:sz w:val="20"/>
        </w:rPr>
        <w:t>(B) "</w:t>
      </w:r>
      <w:r w:rsidRPr="00E8720E">
        <w:rPr>
          <w:rFonts w:ascii="Arial" w:eastAsia="Times New Roman" w:hAnsi="Arial" w:cs="Arial"/>
          <w:b/>
          <w:color w:val="000000"/>
          <w:sz w:val="20"/>
        </w:rPr>
        <w:t>Regular clinical faculty</w:t>
      </w:r>
      <w:r w:rsidRPr="00E8720E">
        <w:rPr>
          <w:rFonts w:ascii="Arial" w:eastAsia="Times New Roman" w:hAnsi="Arial" w:cs="Arial"/>
          <w:color w:val="000000"/>
          <w:sz w:val="20"/>
        </w:rPr>
        <w:t xml:space="preserve">": Regular clinical </w:t>
      </w:r>
      <w:proofErr w:type="gramStart"/>
      <w:r w:rsidRPr="00E8720E">
        <w:rPr>
          <w:rFonts w:ascii="Arial" w:eastAsia="Times New Roman" w:hAnsi="Arial" w:cs="Arial"/>
          <w:color w:val="000000"/>
          <w:sz w:val="20"/>
        </w:rPr>
        <w:t>faculty serve</w:t>
      </w:r>
      <w:proofErr w:type="gramEnd"/>
      <w:r w:rsidRPr="00E8720E">
        <w:rPr>
          <w:rFonts w:ascii="Arial" w:eastAsia="Times New Roman" w:hAnsi="Arial" w:cs="Arial"/>
          <w:color w:val="000000"/>
          <w:sz w:val="20"/>
        </w:rPr>
        <w:t xml:space="preserve"> under fixed term contracts and are not eligible for tenure. Regular clinical faculty appointments are described in Chapter 3335-7 of the Administrative Code.</w:t>
      </w:r>
    </w:p>
    <w:p w:rsidR="00616914" w:rsidRPr="00616914" w:rsidRDefault="00616914" w:rsidP="00616914">
      <w:pPr>
        <w:shd w:val="clear" w:color="auto" w:fill="FFFFFF"/>
        <w:spacing w:before="225" w:after="225" w:line="324" w:lineRule="auto"/>
        <w:rPr>
          <w:rFonts w:ascii="Georgia" w:eastAsia="Times New Roman" w:hAnsi="Georgia" w:cs="Times New Roman"/>
          <w:color w:val="000000"/>
          <w:sz w:val="20"/>
          <w:szCs w:val="20"/>
        </w:rPr>
      </w:pPr>
      <w:r w:rsidRPr="00E8720E">
        <w:rPr>
          <w:rFonts w:ascii="Arial" w:eastAsia="Times New Roman" w:hAnsi="Arial" w:cs="Arial"/>
          <w:color w:val="000000"/>
          <w:sz w:val="20"/>
        </w:rPr>
        <w:t>(C) “</w:t>
      </w:r>
      <w:r w:rsidRPr="00E8720E">
        <w:rPr>
          <w:rFonts w:ascii="Arial" w:eastAsia="Times New Roman" w:hAnsi="Arial" w:cs="Arial"/>
          <w:b/>
          <w:color w:val="000000"/>
          <w:sz w:val="20"/>
        </w:rPr>
        <w:t>Regular research faculty</w:t>
      </w:r>
      <w:r w:rsidRPr="00E8720E">
        <w:rPr>
          <w:rFonts w:ascii="Arial" w:eastAsia="Times New Roman" w:hAnsi="Arial" w:cs="Arial"/>
          <w:color w:val="000000"/>
          <w:sz w:val="20"/>
        </w:rPr>
        <w:t xml:space="preserve">”: Regular research </w:t>
      </w:r>
      <w:proofErr w:type="gramStart"/>
      <w:r w:rsidRPr="00E8720E">
        <w:rPr>
          <w:rFonts w:ascii="Arial" w:eastAsia="Times New Roman" w:hAnsi="Arial" w:cs="Arial"/>
          <w:color w:val="000000"/>
          <w:sz w:val="20"/>
        </w:rPr>
        <w:t>faculty serve</w:t>
      </w:r>
      <w:proofErr w:type="gramEnd"/>
      <w:r w:rsidRPr="00E8720E">
        <w:rPr>
          <w:rFonts w:ascii="Arial" w:eastAsia="Times New Roman" w:hAnsi="Arial" w:cs="Arial"/>
          <w:color w:val="000000"/>
          <w:sz w:val="20"/>
        </w:rPr>
        <w:t xml:space="preserve"> under fixed term contracts and are not eligible for tenure. Regular research faculty appointments are described in Chapter 3335-7 of the Administrative Code.</w:t>
      </w:r>
    </w:p>
    <w:p w:rsidR="00616914" w:rsidRPr="00616914" w:rsidRDefault="00616914" w:rsidP="00616914">
      <w:pPr>
        <w:shd w:val="clear" w:color="auto" w:fill="FFFFFF"/>
        <w:spacing w:before="225" w:after="225" w:line="324" w:lineRule="auto"/>
        <w:rPr>
          <w:rFonts w:ascii="Georgia" w:eastAsia="Times New Roman" w:hAnsi="Georgia" w:cs="Times New Roman"/>
          <w:color w:val="000000"/>
          <w:sz w:val="20"/>
          <w:szCs w:val="20"/>
        </w:rPr>
      </w:pPr>
      <w:r w:rsidRPr="00E8720E">
        <w:rPr>
          <w:rFonts w:ascii="Arial" w:eastAsia="Times New Roman" w:hAnsi="Arial" w:cs="Arial"/>
          <w:color w:val="000000"/>
          <w:sz w:val="20"/>
        </w:rPr>
        <w:t>(D) "</w:t>
      </w:r>
      <w:r w:rsidRPr="00E8720E">
        <w:rPr>
          <w:rFonts w:ascii="Arial" w:eastAsia="Times New Roman" w:hAnsi="Arial" w:cs="Arial"/>
          <w:b/>
          <w:color w:val="000000"/>
          <w:sz w:val="20"/>
        </w:rPr>
        <w:t>Auxiliary faculty</w:t>
      </w:r>
      <w:r w:rsidRPr="00E8720E">
        <w:rPr>
          <w:rFonts w:ascii="Arial" w:eastAsia="Times New Roman" w:hAnsi="Arial" w:cs="Arial"/>
          <w:color w:val="000000"/>
          <w:sz w:val="20"/>
        </w:rPr>
        <w:t xml:space="preserve">": persons with adjunct titles, clinical titles, visiting titles, and lecturer titles; also professors, associate professors, assistant professors, and instructors who serve on appointments totaling </w:t>
      </w:r>
      <w:r w:rsidRPr="00E8720E">
        <w:rPr>
          <w:rFonts w:ascii="Arial" w:eastAsia="Times New Roman" w:hAnsi="Arial" w:cs="Arial"/>
          <w:color w:val="000000"/>
          <w:sz w:val="20"/>
          <w:u w:val="single"/>
        </w:rPr>
        <w:t>less than fifty per cent</w:t>
      </w:r>
      <w:r w:rsidRPr="00E8720E">
        <w:rPr>
          <w:rFonts w:ascii="Arial" w:eastAsia="Times New Roman" w:hAnsi="Arial" w:cs="Arial"/>
          <w:color w:val="000000"/>
          <w:sz w:val="20"/>
        </w:rPr>
        <w:t xml:space="preserve"> service to the university. Persons holding auxiliary titles are not eligible for tenure.</w:t>
      </w:r>
    </w:p>
    <w:p w:rsidR="00616914" w:rsidRPr="00E8720E" w:rsidRDefault="00616914" w:rsidP="00616914">
      <w:pPr>
        <w:shd w:val="clear" w:color="auto" w:fill="FFFFFF"/>
        <w:spacing w:before="225" w:after="225" w:line="324" w:lineRule="auto"/>
        <w:ind w:left="720"/>
        <w:rPr>
          <w:rFonts w:ascii="Arial" w:eastAsia="Times New Roman" w:hAnsi="Arial" w:cs="Arial"/>
          <w:color w:val="000000"/>
          <w:sz w:val="20"/>
        </w:rPr>
      </w:pPr>
      <w:r w:rsidRPr="00E8720E">
        <w:rPr>
          <w:rFonts w:ascii="Arial" w:eastAsia="Times New Roman" w:hAnsi="Arial" w:cs="Arial"/>
          <w:color w:val="000000"/>
          <w:sz w:val="20"/>
        </w:rPr>
        <w:t xml:space="preserve">(1) The titles of adjunct professor, adjunct associate professor, adjunct assistant professor, and adjunct instructor shall be used to confer faculty status on individuals who have credentials </w:t>
      </w:r>
      <w:r w:rsidRPr="00E8720E">
        <w:rPr>
          <w:rFonts w:ascii="Arial" w:eastAsia="Times New Roman" w:hAnsi="Arial" w:cs="Arial"/>
          <w:color w:val="000000"/>
          <w:sz w:val="20"/>
          <w:u w:val="single"/>
        </w:rPr>
        <w:t>comparable to regular faculty</w:t>
      </w:r>
      <w:r w:rsidRPr="00E8720E">
        <w:rPr>
          <w:rFonts w:ascii="Arial" w:eastAsia="Times New Roman" w:hAnsi="Arial" w:cs="Arial"/>
          <w:color w:val="000000"/>
          <w:sz w:val="20"/>
        </w:rPr>
        <w:t xml:space="preserve"> of equivalent rank, who provide significant, uncompensated service to the instructional and/or research programs of the university and who need a faculty title to perform that service. Significant service would include teaching the equivalent of one or more courses, </w:t>
      </w:r>
      <w:r w:rsidRPr="00E8720E">
        <w:rPr>
          <w:rFonts w:ascii="Arial" w:eastAsia="Times New Roman" w:hAnsi="Arial" w:cs="Arial"/>
          <w:color w:val="000000"/>
          <w:sz w:val="20"/>
          <w:u w:val="single"/>
        </w:rPr>
        <w:t>advising graduate students or serving on graduate committees, and serving as a co-investigator on a research project</w:t>
      </w:r>
      <w:r w:rsidRPr="00E8720E">
        <w:rPr>
          <w:rFonts w:ascii="Arial" w:eastAsia="Times New Roman" w:hAnsi="Arial" w:cs="Arial"/>
          <w:color w:val="000000"/>
          <w:sz w:val="20"/>
        </w:rPr>
        <w:t xml:space="preserve">. Such individuals may be either </w:t>
      </w:r>
      <w:proofErr w:type="spellStart"/>
      <w:r w:rsidRPr="00E8720E">
        <w:rPr>
          <w:rFonts w:ascii="Arial" w:eastAsia="Times New Roman" w:hAnsi="Arial" w:cs="Arial"/>
          <w:color w:val="000000"/>
          <w:sz w:val="20"/>
        </w:rPr>
        <w:t>nonuniversity</w:t>
      </w:r>
      <w:proofErr w:type="spellEnd"/>
      <w:r w:rsidRPr="00E8720E">
        <w:rPr>
          <w:rFonts w:ascii="Arial" w:eastAsia="Times New Roman" w:hAnsi="Arial" w:cs="Arial"/>
          <w:color w:val="000000"/>
          <w:sz w:val="20"/>
        </w:rPr>
        <w:t xml:space="preserve"> employees or university employees compensated on a </w:t>
      </w:r>
      <w:proofErr w:type="spellStart"/>
      <w:r w:rsidRPr="00E8720E">
        <w:rPr>
          <w:rFonts w:ascii="Arial" w:eastAsia="Times New Roman" w:hAnsi="Arial" w:cs="Arial"/>
          <w:color w:val="000000"/>
          <w:sz w:val="20"/>
        </w:rPr>
        <w:t>noninstructional</w:t>
      </w:r>
      <w:proofErr w:type="spellEnd"/>
      <w:r w:rsidRPr="00E8720E">
        <w:rPr>
          <w:rFonts w:ascii="Arial" w:eastAsia="Times New Roman" w:hAnsi="Arial" w:cs="Arial"/>
          <w:color w:val="000000"/>
          <w:sz w:val="20"/>
        </w:rPr>
        <w:t xml:space="preserve"> budget. Adjunct appointments are made for the period in which the uncompensated service is provided not to exceed one year; renewal is contingent upon continued significant contributions. </w:t>
      </w:r>
    </w:p>
    <w:p w:rsidR="00616914" w:rsidRPr="00E8720E" w:rsidRDefault="00616914" w:rsidP="00616914">
      <w:pPr>
        <w:shd w:val="clear" w:color="auto" w:fill="FFFFFF"/>
        <w:spacing w:before="225" w:after="225" w:line="324" w:lineRule="auto"/>
        <w:ind w:left="720"/>
        <w:rPr>
          <w:rFonts w:ascii="Arial" w:eastAsia="Times New Roman" w:hAnsi="Arial" w:cs="Arial"/>
          <w:color w:val="000000"/>
          <w:sz w:val="20"/>
        </w:rPr>
      </w:pPr>
      <w:r w:rsidRPr="00E8720E">
        <w:rPr>
          <w:rFonts w:ascii="Arial" w:eastAsia="Times New Roman" w:hAnsi="Arial" w:cs="Arial"/>
          <w:color w:val="000000"/>
          <w:sz w:val="20"/>
        </w:rPr>
        <w:lastRenderedPageBreak/>
        <w:t xml:space="preserve">(2) The titles of clinical professor, clinical associate professor, clinical assistant professor, and clinical instructor shall be used to confer faculty status on individuals who have credentials </w:t>
      </w:r>
      <w:r w:rsidRPr="00E8720E">
        <w:rPr>
          <w:rFonts w:ascii="Arial" w:eastAsia="Times New Roman" w:hAnsi="Arial" w:cs="Arial"/>
          <w:color w:val="000000"/>
          <w:sz w:val="20"/>
          <w:u w:val="single"/>
        </w:rPr>
        <w:t>comparable to regular clinical faculty</w:t>
      </w:r>
      <w:r w:rsidRPr="00E8720E">
        <w:rPr>
          <w:rFonts w:ascii="Arial" w:eastAsia="Times New Roman" w:hAnsi="Arial" w:cs="Arial"/>
          <w:color w:val="000000"/>
          <w:sz w:val="20"/>
        </w:rPr>
        <w:t xml:space="preserve"> of equivalent rank and who either provide significant, uncompensated service for which a faculty title is needed or compensated service to the clinical instructional programs in the colleges of the health sciences. </w:t>
      </w:r>
    </w:p>
    <w:p w:rsidR="00616914" w:rsidRPr="00E8720E" w:rsidRDefault="00616914" w:rsidP="00616914">
      <w:pPr>
        <w:shd w:val="clear" w:color="auto" w:fill="FFFFFF"/>
        <w:spacing w:before="225" w:after="225" w:line="324" w:lineRule="auto"/>
        <w:ind w:left="720"/>
        <w:rPr>
          <w:rFonts w:ascii="Arial" w:eastAsia="Times New Roman" w:hAnsi="Arial" w:cs="Arial"/>
          <w:color w:val="000000"/>
          <w:sz w:val="20"/>
        </w:rPr>
      </w:pPr>
      <w:r w:rsidRPr="00E8720E">
        <w:rPr>
          <w:rFonts w:ascii="Arial" w:eastAsia="Times New Roman" w:hAnsi="Arial" w:cs="Arial"/>
          <w:color w:val="000000"/>
          <w:sz w:val="20"/>
        </w:rPr>
        <w:t xml:space="preserve">(3) The titles of visiting professor, visiting associate professor, visiting assistant professor, and visiting instructor shall be used to confer faculty status on individuals who have credentials </w:t>
      </w:r>
      <w:r w:rsidRPr="00E8720E">
        <w:rPr>
          <w:rFonts w:ascii="Arial" w:eastAsia="Times New Roman" w:hAnsi="Arial" w:cs="Arial"/>
          <w:color w:val="000000"/>
          <w:sz w:val="20"/>
          <w:u w:val="single"/>
        </w:rPr>
        <w:t>comparable to regular faculty</w:t>
      </w:r>
      <w:r w:rsidRPr="00E8720E">
        <w:rPr>
          <w:rFonts w:ascii="Arial" w:eastAsia="Times New Roman" w:hAnsi="Arial" w:cs="Arial"/>
          <w:color w:val="000000"/>
          <w:sz w:val="20"/>
        </w:rPr>
        <w:t xml:space="preserve"> of equivalent rank who spend a limited period of time on formal appointment and in residence at this institution for purposes of participating in the instructional and research programs of the university. </w:t>
      </w:r>
    </w:p>
    <w:p w:rsidR="00616914" w:rsidRPr="006630F7" w:rsidRDefault="00616914" w:rsidP="00616914">
      <w:pPr>
        <w:shd w:val="clear" w:color="auto" w:fill="FFFFFF"/>
        <w:spacing w:before="225" w:after="225" w:line="324" w:lineRule="auto"/>
        <w:ind w:left="720"/>
        <w:rPr>
          <w:rFonts w:ascii="Arial" w:eastAsia="Times New Roman" w:hAnsi="Arial" w:cs="Arial"/>
          <w:color w:val="000000"/>
          <w:sz w:val="20"/>
          <w:u w:val="single"/>
        </w:rPr>
      </w:pPr>
      <w:r w:rsidRPr="00E8720E">
        <w:rPr>
          <w:rFonts w:ascii="Arial" w:eastAsia="Times New Roman" w:hAnsi="Arial" w:cs="Arial"/>
          <w:color w:val="000000"/>
          <w:sz w:val="20"/>
        </w:rPr>
        <w:t xml:space="preserve">(4) The titles of lecturer and senior lecturer shall be used for all compensated instructional appointments where other titles are not appropriate. </w:t>
      </w:r>
      <w:r w:rsidRPr="006630F7">
        <w:rPr>
          <w:rFonts w:ascii="Arial" w:eastAsia="Times New Roman" w:hAnsi="Arial" w:cs="Arial"/>
          <w:color w:val="000000"/>
          <w:sz w:val="20"/>
          <w:u w:val="single"/>
        </w:rPr>
        <w:t>Lecturers' responsibilities shall be limited to formal course instruction.</w:t>
      </w:r>
    </w:p>
    <w:p w:rsidR="00616914" w:rsidRPr="00E8720E" w:rsidRDefault="00E8720E" w:rsidP="00616914">
      <w:pPr>
        <w:spacing w:after="0" w:line="240" w:lineRule="auto"/>
        <w:rPr>
          <w:rFonts w:cstheme="minorHAnsi"/>
          <w:b/>
          <w:sz w:val="24"/>
          <w:szCs w:val="24"/>
        </w:rPr>
      </w:pPr>
      <w:r>
        <w:rPr>
          <w:rFonts w:cstheme="minorHAnsi"/>
          <w:b/>
          <w:sz w:val="24"/>
          <w:szCs w:val="24"/>
        </w:rPr>
        <w:t xml:space="preserve">2. </w:t>
      </w:r>
      <w:r w:rsidR="00616914" w:rsidRPr="00E8720E">
        <w:rPr>
          <w:rFonts w:cstheme="minorHAnsi"/>
          <w:b/>
          <w:sz w:val="24"/>
          <w:szCs w:val="24"/>
        </w:rPr>
        <w:t>Definitions of “Regular Faculty” – tenure-track, research, and clinical</w:t>
      </w:r>
    </w:p>
    <w:p w:rsidR="00616914" w:rsidRPr="00E8720E" w:rsidRDefault="00616914" w:rsidP="00616914">
      <w:pPr>
        <w:spacing w:after="0" w:line="240" w:lineRule="auto"/>
        <w:rPr>
          <w:rFonts w:cstheme="minorHAnsi"/>
        </w:rPr>
      </w:pPr>
    </w:p>
    <w:p w:rsidR="00616914" w:rsidRPr="00E8720E" w:rsidRDefault="00616914" w:rsidP="00616914">
      <w:pPr>
        <w:spacing w:after="0" w:line="240" w:lineRule="auto"/>
        <w:rPr>
          <w:rFonts w:eastAsia="Times New Roman" w:cstheme="minorHAnsi"/>
          <w:color w:val="000000"/>
        </w:rPr>
      </w:pPr>
      <w:r w:rsidRPr="00E8720E">
        <w:rPr>
          <w:rFonts w:eastAsia="Times New Roman" w:cstheme="minorHAnsi"/>
          <w:color w:val="000000"/>
        </w:rPr>
        <w:t xml:space="preserve"> </w:t>
      </w:r>
      <w:hyperlink r:id="rId9" w:history="1">
        <w:r w:rsidRPr="00E8720E">
          <w:rPr>
            <w:rStyle w:val="Hyperlink"/>
            <w:rFonts w:eastAsia="Times New Roman" w:cstheme="minorHAnsi"/>
          </w:rPr>
          <w:t>http://trustees.osu.edu/rules7/index.php</w:t>
        </w:r>
      </w:hyperlink>
      <w:r w:rsidRPr="00E8720E">
        <w:rPr>
          <w:rFonts w:eastAsia="Times New Roman" w:cstheme="minorHAnsi"/>
          <w:color w:val="000000"/>
        </w:rPr>
        <w:t xml:space="preserve">  </w:t>
      </w:r>
    </w:p>
    <w:p w:rsidR="00616914" w:rsidRPr="00E8720E" w:rsidRDefault="00616914" w:rsidP="00616914">
      <w:pPr>
        <w:shd w:val="clear" w:color="auto" w:fill="FFFFFF"/>
        <w:spacing w:before="225" w:after="225" w:line="240" w:lineRule="auto"/>
        <w:rPr>
          <w:rFonts w:eastAsia="Times New Roman" w:cstheme="minorHAnsi"/>
          <w:color w:val="000000"/>
        </w:rPr>
      </w:pPr>
      <w:proofErr w:type="gramStart"/>
      <w:r w:rsidRPr="00E8720E">
        <w:rPr>
          <w:rFonts w:eastAsia="Times New Roman" w:cstheme="minorHAnsi"/>
          <w:bCs/>
          <w:color w:val="000000"/>
        </w:rPr>
        <w:t>3335-6-02 Criteria for appointment, reappointment, and promotion and tenure of tenure-track faculty.</w:t>
      </w:r>
      <w:proofErr w:type="gramEnd"/>
    </w:p>
    <w:p w:rsidR="00616914" w:rsidRPr="00E8720E" w:rsidRDefault="00616914" w:rsidP="00616914">
      <w:pPr>
        <w:shd w:val="clear" w:color="auto" w:fill="FFFFFF"/>
        <w:spacing w:before="240" w:after="225" w:line="240" w:lineRule="auto"/>
        <w:rPr>
          <w:rFonts w:eastAsia="Times New Roman" w:cstheme="minorHAnsi"/>
          <w:color w:val="000000"/>
        </w:rPr>
      </w:pPr>
      <w:proofErr w:type="gramStart"/>
      <w:r w:rsidRPr="00E8720E">
        <w:rPr>
          <w:rFonts w:eastAsia="Times New Roman" w:cstheme="minorHAnsi"/>
          <w:color w:val="000000"/>
        </w:rPr>
        <w:t>1)Tenure</w:t>
      </w:r>
      <w:proofErr w:type="gramEnd"/>
      <w:r w:rsidRPr="00E8720E">
        <w:rPr>
          <w:rFonts w:eastAsia="Times New Roman" w:cstheme="minorHAnsi"/>
          <w:color w:val="000000"/>
        </w:rPr>
        <w:t xml:space="preserve">-track faculty - Appointment decisions for regular faculty positions, as defined in rule 3335-5-19 of the Administrative Code, must be based on criteria that reflect strong potential to attain tenure and advance through the faculty ranks. A minimum requirement for appointment at or promotion to the rank of assistant professor or a higher rank is an earned doctorate or other terminal degree in the relevant field of study or possession of equivalent experience. Appointments at the rank of </w:t>
      </w:r>
      <w:r w:rsidRPr="00E8720E">
        <w:rPr>
          <w:rFonts w:eastAsia="Times New Roman" w:cstheme="minorHAnsi"/>
          <w:color w:val="000000"/>
          <w:u w:val="single"/>
        </w:rPr>
        <w:t>instructor</w:t>
      </w:r>
      <w:r w:rsidRPr="00E8720E">
        <w:rPr>
          <w:rFonts w:eastAsia="Times New Roman" w:cstheme="minorHAnsi"/>
          <w:color w:val="000000"/>
        </w:rPr>
        <w:t xml:space="preserve"> should normally only be made when the offered appointment is that of assistant professor but the appointee has not completed the required terminal degree at the onset of the appointment.</w:t>
      </w:r>
    </w:p>
    <w:p w:rsidR="00616914" w:rsidRPr="00E8720E" w:rsidRDefault="00616914" w:rsidP="00616914">
      <w:pPr>
        <w:shd w:val="clear" w:color="auto" w:fill="FFFFFF"/>
        <w:spacing w:before="225" w:after="225" w:line="240" w:lineRule="auto"/>
        <w:rPr>
          <w:rFonts w:eastAsia="Times New Roman" w:cstheme="minorHAnsi"/>
          <w:color w:val="000000"/>
        </w:rPr>
      </w:pPr>
      <w:r w:rsidRPr="00E8720E">
        <w:rPr>
          <w:rFonts w:eastAsia="Times New Roman" w:cstheme="minorHAnsi"/>
          <w:color w:val="000000"/>
        </w:rPr>
        <w:t>2) Regular research track faculty</w:t>
      </w:r>
    </w:p>
    <w:p w:rsidR="00616914" w:rsidRPr="00E8720E" w:rsidRDefault="00616914" w:rsidP="00616914">
      <w:pPr>
        <w:shd w:val="clear" w:color="auto" w:fill="FFFFFF"/>
        <w:spacing w:before="225" w:after="225" w:line="240" w:lineRule="auto"/>
        <w:ind w:left="720"/>
        <w:rPr>
          <w:rFonts w:eastAsia="Times New Roman" w:cstheme="minorHAnsi"/>
          <w:color w:val="000000"/>
        </w:rPr>
      </w:pPr>
      <w:proofErr w:type="gramStart"/>
      <w:r w:rsidRPr="00E8720E">
        <w:rPr>
          <w:rFonts w:eastAsia="Times New Roman" w:cstheme="minorHAnsi"/>
          <w:bCs/>
          <w:color w:val="000000"/>
        </w:rPr>
        <w:t>3335-7-30 Definition.</w:t>
      </w:r>
      <w:proofErr w:type="gramEnd"/>
    </w:p>
    <w:p w:rsidR="00616914" w:rsidRPr="00E8720E" w:rsidRDefault="00616914" w:rsidP="00616914">
      <w:pPr>
        <w:shd w:val="clear" w:color="auto" w:fill="FFFFFF"/>
        <w:spacing w:before="225" w:after="225" w:line="240" w:lineRule="auto"/>
        <w:ind w:left="720"/>
        <w:rPr>
          <w:rFonts w:eastAsia="Times New Roman" w:cstheme="minorHAnsi"/>
          <w:color w:val="000000"/>
        </w:rPr>
      </w:pPr>
      <w:r w:rsidRPr="00E8720E">
        <w:rPr>
          <w:rFonts w:eastAsia="Times New Roman" w:cstheme="minorHAnsi"/>
          <w:color w:val="000000"/>
        </w:rPr>
        <w:t xml:space="preserve">Regular research track faculty appointments are fixed term contract appointments that do not entail tenure. Research track </w:t>
      </w:r>
      <w:proofErr w:type="gramStart"/>
      <w:r w:rsidRPr="00E8720E">
        <w:rPr>
          <w:rFonts w:eastAsia="Times New Roman" w:cstheme="minorHAnsi"/>
          <w:color w:val="000000"/>
        </w:rPr>
        <w:t>faculty are</w:t>
      </w:r>
      <w:proofErr w:type="gramEnd"/>
      <w:r w:rsidRPr="00E8720E">
        <w:rPr>
          <w:rFonts w:eastAsia="Times New Roman" w:cstheme="minorHAnsi"/>
          <w:color w:val="000000"/>
        </w:rPr>
        <w:t xml:space="preserve"> researchers and shall be engaged in research related to the mission and goals of the academic unit. (B/T 6/4/2004)</w:t>
      </w:r>
    </w:p>
    <w:p w:rsidR="00616914" w:rsidRPr="00E8720E" w:rsidRDefault="00616914" w:rsidP="00616914">
      <w:pPr>
        <w:shd w:val="clear" w:color="auto" w:fill="FFFFFF"/>
        <w:spacing w:before="225" w:after="225" w:line="240" w:lineRule="auto"/>
        <w:ind w:left="720"/>
        <w:rPr>
          <w:rFonts w:eastAsia="Times New Roman" w:cstheme="minorHAnsi"/>
          <w:color w:val="000000"/>
        </w:rPr>
      </w:pPr>
      <w:r w:rsidRPr="00E8720E">
        <w:rPr>
          <w:rFonts w:eastAsia="Times New Roman" w:cstheme="minorHAnsi"/>
          <w:color w:val="000000"/>
        </w:rPr>
        <w:t> </w:t>
      </w:r>
      <w:proofErr w:type="gramStart"/>
      <w:r w:rsidRPr="00E8720E">
        <w:rPr>
          <w:rFonts w:eastAsia="Times New Roman" w:cstheme="minorHAnsi"/>
          <w:bCs/>
          <w:color w:val="000000"/>
        </w:rPr>
        <w:t>3335-7-34 Duties and responsibilities.</w:t>
      </w:r>
      <w:proofErr w:type="gramEnd"/>
    </w:p>
    <w:p w:rsidR="00616914" w:rsidRPr="00E8720E" w:rsidRDefault="00616914" w:rsidP="00616914">
      <w:pPr>
        <w:shd w:val="clear" w:color="auto" w:fill="FFFFFF"/>
        <w:spacing w:before="225" w:after="225" w:line="240" w:lineRule="auto"/>
        <w:ind w:left="720"/>
        <w:rPr>
          <w:rFonts w:eastAsia="Times New Roman" w:cstheme="minorHAnsi"/>
          <w:color w:val="000000"/>
        </w:rPr>
      </w:pPr>
      <w:r w:rsidRPr="00E8720E">
        <w:rPr>
          <w:rFonts w:eastAsia="Times New Roman" w:cstheme="minorHAnsi"/>
          <w:color w:val="000000"/>
        </w:rPr>
        <w:t xml:space="preserve">The primary duty of regular research track faculty is to conduct research. A research track faculty member may, but is not required to, participate in limited educational activities in the area of his or her expertise. However, teaching opportunities for each research track faculty member must be approved by a majority vote of the TIU’s regular tenure-track faculty. Under no circumstances may a member of the research track faculty be continuously engaged over an extended period in the same instructional activities as tenure-track faculty. An appointment to a </w:t>
      </w:r>
      <w:r w:rsidRPr="00E8720E">
        <w:rPr>
          <w:rFonts w:eastAsia="Times New Roman" w:cstheme="minorHAnsi"/>
          <w:color w:val="000000"/>
        </w:rPr>
        <w:lastRenderedPageBreak/>
        <w:t>research track faculty position should not be made to displace or make unnecessary an appointment to a tenure-track faculty position. (B/T 6/4/2004, B/T 6/7/2005)</w:t>
      </w:r>
    </w:p>
    <w:p w:rsidR="00616914" w:rsidRPr="00E8720E" w:rsidRDefault="00616914" w:rsidP="00616914">
      <w:pPr>
        <w:shd w:val="clear" w:color="auto" w:fill="FFFFFF"/>
        <w:spacing w:before="225" w:after="225" w:line="240" w:lineRule="auto"/>
        <w:rPr>
          <w:rFonts w:eastAsia="Times New Roman" w:cstheme="minorHAnsi"/>
          <w:color w:val="000000"/>
        </w:rPr>
      </w:pPr>
      <w:r w:rsidRPr="00E8720E">
        <w:rPr>
          <w:rFonts w:eastAsia="Times New Roman" w:cstheme="minorHAnsi"/>
          <w:color w:val="000000"/>
        </w:rPr>
        <w:t xml:space="preserve">3) Regular clinical track faculty </w:t>
      </w:r>
    </w:p>
    <w:p w:rsidR="00616914" w:rsidRPr="00E8720E" w:rsidRDefault="00616914" w:rsidP="00616914">
      <w:pPr>
        <w:shd w:val="clear" w:color="auto" w:fill="FFFFFF"/>
        <w:spacing w:before="225" w:after="225" w:line="240" w:lineRule="auto"/>
        <w:ind w:left="720"/>
        <w:rPr>
          <w:rFonts w:eastAsia="Times New Roman" w:cstheme="minorHAnsi"/>
          <w:color w:val="000000"/>
        </w:rPr>
      </w:pPr>
      <w:proofErr w:type="gramStart"/>
      <w:r w:rsidRPr="00E8720E">
        <w:rPr>
          <w:rFonts w:eastAsia="Times New Roman" w:cstheme="minorHAnsi"/>
          <w:bCs/>
          <w:color w:val="000000"/>
        </w:rPr>
        <w:t>3335-7-01 Definition.</w:t>
      </w:r>
      <w:proofErr w:type="gramEnd"/>
    </w:p>
    <w:p w:rsidR="00616914" w:rsidRPr="00E8720E" w:rsidRDefault="00616914" w:rsidP="00616914">
      <w:pPr>
        <w:shd w:val="clear" w:color="auto" w:fill="FFFFFF"/>
        <w:spacing w:before="225" w:after="225" w:line="240" w:lineRule="auto"/>
        <w:ind w:left="720"/>
        <w:rPr>
          <w:rFonts w:eastAsia="Times New Roman" w:cstheme="minorHAnsi"/>
          <w:color w:val="000000"/>
        </w:rPr>
      </w:pPr>
      <w:r w:rsidRPr="00E8720E">
        <w:rPr>
          <w:rFonts w:eastAsia="Times New Roman" w:cstheme="minorHAnsi"/>
          <w:color w:val="000000"/>
        </w:rPr>
        <w:t>Regular clinical track faculty appointments are fixed term contract appointments that do not entail tenure. Regular clinical track faculty are teacher/practitioners and shall be engaged primarily in teaching activities related to: a) courses or instructional situations involving live patients or live clients, b) courses or instructional situations involving the simulation of live patients or live clients, or c) courses or instructional situations involving professional skills. (B/T 7/12/2002, B/T 7/9/2004).  Unless an exception is approved by the university senate and the board of trustees, regular clinical track faculty may comprise no more than forty percent of the total regular tenure-track faculty (as defined in rule 3335-5-19 of the Administrative Code) in each of the departments, schools, and colleges of the health sciences and no more than twenty percent of the tenure-track faculty in other departments, schools, and colleges. (B/T 7/12/2002, B/T 7/9/2004, B/T 6/7/2005).</w:t>
      </w:r>
    </w:p>
    <w:p w:rsidR="00616914" w:rsidRPr="00616914" w:rsidRDefault="00616914" w:rsidP="00616914">
      <w:pPr>
        <w:shd w:val="clear" w:color="auto" w:fill="FFFFFF"/>
        <w:spacing w:before="225" w:after="225" w:line="324" w:lineRule="auto"/>
        <w:rPr>
          <w:rFonts w:ascii="Georgia" w:eastAsia="Times New Roman" w:hAnsi="Georgia" w:cs="Times New Roman"/>
          <w:color w:val="000000"/>
          <w:sz w:val="20"/>
          <w:szCs w:val="20"/>
        </w:rPr>
      </w:pPr>
    </w:p>
    <w:p w:rsidR="00027A9A" w:rsidRPr="00E8720E" w:rsidRDefault="00027A9A" w:rsidP="00027A9A">
      <w:pPr>
        <w:shd w:val="clear" w:color="auto" w:fill="FFFFFF"/>
        <w:spacing w:before="225" w:after="225" w:line="240" w:lineRule="auto"/>
        <w:rPr>
          <w:rFonts w:eastAsia="Times New Roman" w:cstheme="minorHAnsi"/>
          <w:color w:val="000000"/>
        </w:rPr>
      </w:pPr>
    </w:p>
    <w:sectPr w:rsidR="00027A9A" w:rsidRPr="00E8720E" w:rsidSect="00DD5D4D">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7F8B" w:rsidRDefault="00DD7F8B" w:rsidP="00E8720E">
      <w:pPr>
        <w:spacing w:after="0" w:line="240" w:lineRule="auto"/>
      </w:pPr>
      <w:r>
        <w:separator/>
      </w:r>
    </w:p>
  </w:endnote>
  <w:endnote w:type="continuationSeparator" w:id="0">
    <w:p w:rsidR="00DD7F8B" w:rsidRDefault="00DD7F8B" w:rsidP="00E872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1773798"/>
      <w:docPartObj>
        <w:docPartGallery w:val="Page Numbers (Bottom of Page)"/>
        <w:docPartUnique/>
      </w:docPartObj>
    </w:sdtPr>
    <w:sdtContent>
      <w:p w:rsidR="00E8720E" w:rsidRDefault="00E8720E">
        <w:pPr>
          <w:pStyle w:val="Footer"/>
          <w:jc w:val="right"/>
        </w:pPr>
        <w:fldSimple w:instr=" PAGE   \* MERGEFORMAT ">
          <w:r w:rsidR="001A03B8">
            <w:rPr>
              <w:noProof/>
            </w:rPr>
            <w:t>1</w:t>
          </w:r>
        </w:fldSimple>
      </w:p>
    </w:sdtContent>
  </w:sdt>
  <w:p w:rsidR="00E8720E" w:rsidRDefault="00E872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7F8B" w:rsidRDefault="00DD7F8B" w:rsidP="00E8720E">
      <w:pPr>
        <w:spacing w:after="0" w:line="240" w:lineRule="auto"/>
      </w:pPr>
      <w:r>
        <w:separator/>
      </w:r>
    </w:p>
  </w:footnote>
  <w:footnote w:type="continuationSeparator" w:id="0">
    <w:p w:rsidR="00DD7F8B" w:rsidRDefault="00DD7F8B" w:rsidP="00E872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A1432C"/>
    <w:multiLevelType w:val="hybridMultilevel"/>
    <w:tmpl w:val="72FA475E"/>
    <w:lvl w:ilvl="0" w:tplc="18C6E298">
      <w:start w:val="1"/>
      <w:numFmt w:val="decimal"/>
      <w:lvlText w:val="%1."/>
      <w:lvlJc w:val="left"/>
      <w:pPr>
        <w:ind w:left="720" w:hanging="360"/>
      </w:pPr>
      <w:rPr>
        <w:rFonts w:cstheme="minorHAnsi"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DD763C"/>
    <w:multiLevelType w:val="hybridMultilevel"/>
    <w:tmpl w:val="2FC85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80FC5"/>
    <w:rsid w:val="00027A9A"/>
    <w:rsid w:val="00033A0B"/>
    <w:rsid w:val="000522FC"/>
    <w:rsid w:val="000D29B1"/>
    <w:rsid w:val="00123F70"/>
    <w:rsid w:val="001502FC"/>
    <w:rsid w:val="001A03B8"/>
    <w:rsid w:val="001A59A4"/>
    <w:rsid w:val="00276448"/>
    <w:rsid w:val="00290084"/>
    <w:rsid w:val="003065C0"/>
    <w:rsid w:val="003208A1"/>
    <w:rsid w:val="00351172"/>
    <w:rsid w:val="003717FD"/>
    <w:rsid w:val="003744B6"/>
    <w:rsid w:val="003978C1"/>
    <w:rsid w:val="003D57D2"/>
    <w:rsid w:val="003F7933"/>
    <w:rsid w:val="00404017"/>
    <w:rsid w:val="005A7CDB"/>
    <w:rsid w:val="005D40D5"/>
    <w:rsid w:val="005D699E"/>
    <w:rsid w:val="00616914"/>
    <w:rsid w:val="006205D3"/>
    <w:rsid w:val="006630F7"/>
    <w:rsid w:val="0080179A"/>
    <w:rsid w:val="008B28F8"/>
    <w:rsid w:val="00963C54"/>
    <w:rsid w:val="009A0502"/>
    <w:rsid w:val="00A311AB"/>
    <w:rsid w:val="00A86537"/>
    <w:rsid w:val="00B1523B"/>
    <w:rsid w:val="00BD7327"/>
    <w:rsid w:val="00C040C8"/>
    <w:rsid w:val="00DD5BDD"/>
    <w:rsid w:val="00DD5D4D"/>
    <w:rsid w:val="00DD7F8B"/>
    <w:rsid w:val="00E061E8"/>
    <w:rsid w:val="00E80FC5"/>
    <w:rsid w:val="00E8720E"/>
    <w:rsid w:val="00EE093A"/>
    <w:rsid w:val="00F849DE"/>
    <w:rsid w:val="00FE7D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1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0F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
    <w:name w:val="body"/>
    <w:basedOn w:val="DefaultParagraphFont"/>
    <w:rsid w:val="003065C0"/>
  </w:style>
  <w:style w:type="character" w:styleId="Hyperlink">
    <w:name w:val="Hyperlink"/>
    <w:basedOn w:val="DefaultParagraphFont"/>
    <w:uiPriority w:val="99"/>
    <w:unhideWhenUsed/>
    <w:rsid w:val="003065C0"/>
    <w:rPr>
      <w:color w:val="0000FF" w:themeColor="hyperlink"/>
      <w:u w:val="single"/>
    </w:rPr>
  </w:style>
  <w:style w:type="character" w:styleId="Strong">
    <w:name w:val="Strong"/>
    <w:basedOn w:val="DefaultParagraphFont"/>
    <w:uiPriority w:val="22"/>
    <w:qFormat/>
    <w:rsid w:val="00DD5BDD"/>
    <w:rPr>
      <w:b/>
      <w:bCs/>
    </w:rPr>
  </w:style>
  <w:style w:type="paragraph" w:styleId="BalloonText">
    <w:name w:val="Balloon Text"/>
    <w:basedOn w:val="Normal"/>
    <w:link w:val="BalloonTextChar"/>
    <w:uiPriority w:val="99"/>
    <w:semiHidden/>
    <w:unhideWhenUsed/>
    <w:rsid w:val="003208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8A1"/>
    <w:rPr>
      <w:rFonts w:ascii="Tahoma" w:hAnsi="Tahoma" w:cs="Tahoma"/>
      <w:sz w:val="16"/>
      <w:szCs w:val="16"/>
    </w:rPr>
  </w:style>
  <w:style w:type="character" w:styleId="CommentReference">
    <w:name w:val="annotation reference"/>
    <w:basedOn w:val="DefaultParagraphFont"/>
    <w:uiPriority w:val="99"/>
    <w:semiHidden/>
    <w:unhideWhenUsed/>
    <w:rsid w:val="003208A1"/>
    <w:rPr>
      <w:sz w:val="16"/>
      <w:szCs w:val="16"/>
    </w:rPr>
  </w:style>
  <w:style w:type="paragraph" w:styleId="CommentText">
    <w:name w:val="annotation text"/>
    <w:basedOn w:val="Normal"/>
    <w:link w:val="CommentTextChar"/>
    <w:uiPriority w:val="99"/>
    <w:unhideWhenUsed/>
    <w:rsid w:val="003208A1"/>
    <w:pPr>
      <w:spacing w:line="240" w:lineRule="auto"/>
    </w:pPr>
    <w:rPr>
      <w:sz w:val="20"/>
      <w:szCs w:val="20"/>
    </w:rPr>
  </w:style>
  <w:style w:type="character" w:customStyle="1" w:styleId="CommentTextChar">
    <w:name w:val="Comment Text Char"/>
    <w:basedOn w:val="DefaultParagraphFont"/>
    <w:link w:val="CommentText"/>
    <w:uiPriority w:val="99"/>
    <w:rsid w:val="003208A1"/>
    <w:rPr>
      <w:sz w:val="20"/>
      <w:szCs w:val="20"/>
    </w:rPr>
  </w:style>
  <w:style w:type="paragraph" w:styleId="CommentSubject">
    <w:name w:val="annotation subject"/>
    <w:basedOn w:val="CommentText"/>
    <w:next w:val="CommentText"/>
    <w:link w:val="CommentSubjectChar"/>
    <w:uiPriority w:val="99"/>
    <w:semiHidden/>
    <w:unhideWhenUsed/>
    <w:rsid w:val="003208A1"/>
    <w:rPr>
      <w:b/>
      <w:bCs/>
    </w:rPr>
  </w:style>
  <w:style w:type="character" w:customStyle="1" w:styleId="CommentSubjectChar">
    <w:name w:val="Comment Subject Char"/>
    <w:basedOn w:val="CommentTextChar"/>
    <w:link w:val="CommentSubject"/>
    <w:uiPriority w:val="99"/>
    <w:semiHidden/>
    <w:rsid w:val="003208A1"/>
    <w:rPr>
      <w:b/>
      <w:bCs/>
    </w:rPr>
  </w:style>
  <w:style w:type="paragraph" w:styleId="ListParagraph">
    <w:name w:val="List Paragraph"/>
    <w:basedOn w:val="Normal"/>
    <w:uiPriority w:val="34"/>
    <w:qFormat/>
    <w:rsid w:val="00027A9A"/>
    <w:pPr>
      <w:ind w:left="720"/>
      <w:contextualSpacing/>
    </w:pPr>
  </w:style>
  <w:style w:type="paragraph" w:styleId="Header">
    <w:name w:val="header"/>
    <w:basedOn w:val="Normal"/>
    <w:link w:val="HeaderChar"/>
    <w:uiPriority w:val="99"/>
    <w:semiHidden/>
    <w:unhideWhenUsed/>
    <w:rsid w:val="00E872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720E"/>
  </w:style>
  <w:style w:type="paragraph" w:styleId="Footer">
    <w:name w:val="footer"/>
    <w:basedOn w:val="Normal"/>
    <w:link w:val="FooterChar"/>
    <w:uiPriority w:val="99"/>
    <w:unhideWhenUsed/>
    <w:rsid w:val="00E872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20E"/>
  </w:style>
</w:styles>
</file>

<file path=word/webSettings.xml><?xml version="1.0" encoding="utf-8"?>
<w:webSettings xmlns:r="http://schemas.openxmlformats.org/officeDocument/2006/relationships" xmlns:w="http://schemas.openxmlformats.org/wordprocessingml/2006/main">
  <w:divs>
    <w:div w:id="96024270">
      <w:bodyDiv w:val="1"/>
      <w:marLeft w:val="180"/>
      <w:marRight w:val="150"/>
      <w:marTop w:val="0"/>
      <w:marBottom w:val="180"/>
      <w:divBdr>
        <w:top w:val="none" w:sz="0" w:space="0" w:color="auto"/>
        <w:left w:val="none" w:sz="0" w:space="0" w:color="auto"/>
        <w:bottom w:val="none" w:sz="0" w:space="0" w:color="auto"/>
        <w:right w:val="none" w:sz="0" w:space="0" w:color="auto"/>
      </w:divBdr>
      <w:divsChild>
        <w:div w:id="400642734">
          <w:marLeft w:val="0"/>
          <w:marRight w:val="0"/>
          <w:marTop w:val="0"/>
          <w:marBottom w:val="180"/>
          <w:divBdr>
            <w:top w:val="none" w:sz="0" w:space="0" w:color="auto"/>
            <w:left w:val="none" w:sz="0" w:space="0" w:color="auto"/>
            <w:bottom w:val="none" w:sz="0" w:space="0" w:color="auto"/>
            <w:right w:val="none" w:sz="0" w:space="0" w:color="auto"/>
          </w:divBdr>
          <w:divsChild>
            <w:div w:id="465003457">
              <w:marLeft w:val="0"/>
              <w:marRight w:val="0"/>
              <w:marTop w:val="180"/>
              <w:marBottom w:val="0"/>
              <w:divBdr>
                <w:top w:val="none" w:sz="0" w:space="0" w:color="auto"/>
                <w:left w:val="none" w:sz="0" w:space="0" w:color="auto"/>
                <w:bottom w:val="none" w:sz="0" w:space="0" w:color="auto"/>
                <w:right w:val="none" w:sz="0" w:space="0" w:color="auto"/>
              </w:divBdr>
              <w:divsChild>
                <w:div w:id="109100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77682">
      <w:bodyDiv w:val="1"/>
      <w:marLeft w:val="180"/>
      <w:marRight w:val="150"/>
      <w:marTop w:val="0"/>
      <w:marBottom w:val="180"/>
      <w:divBdr>
        <w:top w:val="none" w:sz="0" w:space="0" w:color="auto"/>
        <w:left w:val="none" w:sz="0" w:space="0" w:color="auto"/>
        <w:bottom w:val="none" w:sz="0" w:space="0" w:color="auto"/>
        <w:right w:val="none" w:sz="0" w:space="0" w:color="auto"/>
      </w:divBdr>
      <w:divsChild>
        <w:div w:id="285476332">
          <w:marLeft w:val="0"/>
          <w:marRight w:val="0"/>
          <w:marTop w:val="0"/>
          <w:marBottom w:val="180"/>
          <w:divBdr>
            <w:top w:val="none" w:sz="0" w:space="0" w:color="auto"/>
            <w:left w:val="none" w:sz="0" w:space="0" w:color="auto"/>
            <w:bottom w:val="none" w:sz="0" w:space="0" w:color="auto"/>
            <w:right w:val="none" w:sz="0" w:space="0" w:color="auto"/>
          </w:divBdr>
          <w:divsChild>
            <w:div w:id="106045506">
              <w:marLeft w:val="0"/>
              <w:marRight w:val="0"/>
              <w:marTop w:val="180"/>
              <w:marBottom w:val="0"/>
              <w:divBdr>
                <w:top w:val="none" w:sz="0" w:space="0" w:color="auto"/>
                <w:left w:val="none" w:sz="0" w:space="0" w:color="auto"/>
                <w:bottom w:val="none" w:sz="0" w:space="0" w:color="auto"/>
                <w:right w:val="none" w:sz="0" w:space="0" w:color="auto"/>
              </w:divBdr>
              <w:divsChild>
                <w:div w:id="121380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919494">
      <w:bodyDiv w:val="1"/>
      <w:marLeft w:val="180"/>
      <w:marRight w:val="150"/>
      <w:marTop w:val="0"/>
      <w:marBottom w:val="180"/>
      <w:divBdr>
        <w:top w:val="none" w:sz="0" w:space="0" w:color="auto"/>
        <w:left w:val="none" w:sz="0" w:space="0" w:color="auto"/>
        <w:bottom w:val="none" w:sz="0" w:space="0" w:color="auto"/>
        <w:right w:val="none" w:sz="0" w:space="0" w:color="auto"/>
      </w:divBdr>
      <w:divsChild>
        <w:div w:id="378669135">
          <w:marLeft w:val="0"/>
          <w:marRight w:val="0"/>
          <w:marTop w:val="0"/>
          <w:marBottom w:val="180"/>
          <w:divBdr>
            <w:top w:val="none" w:sz="0" w:space="0" w:color="auto"/>
            <w:left w:val="none" w:sz="0" w:space="0" w:color="auto"/>
            <w:bottom w:val="none" w:sz="0" w:space="0" w:color="auto"/>
            <w:right w:val="none" w:sz="0" w:space="0" w:color="auto"/>
          </w:divBdr>
          <w:divsChild>
            <w:div w:id="2013143300">
              <w:marLeft w:val="0"/>
              <w:marRight w:val="0"/>
              <w:marTop w:val="180"/>
              <w:marBottom w:val="0"/>
              <w:divBdr>
                <w:top w:val="none" w:sz="0" w:space="0" w:color="auto"/>
                <w:left w:val="none" w:sz="0" w:space="0" w:color="auto"/>
                <w:bottom w:val="none" w:sz="0" w:space="0" w:color="auto"/>
                <w:right w:val="none" w:sz="0" w:space="0" w:color="auto"/>
              </w:divBdr>
              <w:divsChild>
                <w:div w:id="108411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08516">
      <w:bodyDiv w:val="1"/>
      <w:marLeft w:val="180"/>
      <w:marRight w:val="150"/>
      <w:marTop w:val="0"/>
      <w:marBottom w:val="180"/>
      <w:divBdr>
        <w:top w:val="none" w:sz="0" w:space="0" w:color="auto"/>
        <w:left w:val="none" w:sz="0" w:space="0" w:color="auto"/>
        <w:bottom w:val="none" w:sz="0" w:space="0" w:color="auto"/>
        <w:right w:val="none" w:sz="0" w:space="0" w:color="auto"/>
      </w:divBdr>
      <w:divsChild>
        <w:div w:id="286082194">
          <w:marLeft w:val="0"/>
          <w:marRight w:val="0"/>
          <w:marTop w:val="0"/>
          <w:marBottom w:val="180"/>
          <w:divBdr>
            <w:top w:val="none" w:sz="0" w:space="0" w:color="auto"/>
            <w:left w:val="none" w:sz="0" w:space="0" w:color="auto"/>
            <w:bottom w:val="none" w:sz="0" w:space="0" w:color="auto"/>
            <w:right w:val="none" w:sz="0" w:space="0" w:color="auto"/>
          </w:divBdr>
          <w:divsChild>
            <w:div w:id="1926650813">
              <w:marLeft w:val="0"/>
              <w:marRight w:val="0"/>
              <w:marTop w:val="180"/>
              <w:marBottom w:val="0"/>
              <w:divBdr>
                <w:top w:val="none" w:sz="0" w:space="0" w:color="auto"/>
                <w:left w:val="none" w:sz="0" w:space="0" w:color="auto"/>
                <w:bottom w:val="none" w:sz="0" w:space="0" w:color="auto"/>
                <w:right w:val="none" w:sz="0" w:space="0" w:color="auto"/>
              </w:divBdr>
              <w:divsChild>
                <w:div w:id="1097019248">
                  <w:marLeft w:val="0"/>
                  <w:marRight w:val="0"/>
                  <w:marTop w:val="0"/>
                  <w:marBottom w:val="0"/>
                  <w:divBdr>
                    <w:top w:val="none" w:sz="0" w:space="0" w:color="auto"/>
                    <w:left w:val="none" w:sz="0" w:space="0" w:color="auto"/>
                    <w:bottom w:val="none" w:sz="0" w:space="0" w:color="auto"/>
                    <w:right w:val="none" w:sz="0" w:space="0" w:color="auto"/>
                  </w:divBdr>
                  <w:divsChild>
                    <w:div w:id="1997224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090391892">
      <w:bodyDiv w:val="1"/>
      <w:marLeft w:val="180"/>
      <w:marRight w:val="150"/>
      <w:marTop w:val="0"/>
      <w:marBottom w:val="180"/>
      <w:divBdr>
        <w:top w:val="none" w:sz="0" w:space="0" w:color="auto"/>
        <w:left w:val="none" w:sz="0" w:space="0" w:color="auto"/>
        <w:bottom w:val="none" w:sz="0" w:space="0" w:color="auto"/>
        <w:right w:val="none" w:sz="0" w:space="0" w:color="auto"/>
      </w:divBdr>
      <w:divsChild>
        <w:div w:id="188222450">
          <w:marLeft w:val="0"/>
          <w:marRight w:val="0"/>
          <w:marTop w:val="0"/>
          <w:marBottom w:val="180"/>
          <w:divBdr>
            <w:top w:val="none" w:sz="0" w:space="0" w:color="auto"/>
            <w:left w:val="none" w:sz="0" w:space="0" w:color="auto"/>
            <w:bottom w:val="none" w:sz="0" w:space="0" w:color="auto"/>
            <w:right w:val="none" w:sz="0" w:space="0" w:color="auto"/>
          </w:divBdr>
          <w:divsChild>
            <w:div w:id="278802045">
              <w:marLeft w:val="0"/>
              <w:marRight w:val="0"/>
              <w:marTop w:val="180"/>
              <w:marBottom w:val="0"/>
              <w:divBdr>
                <w:top w:val="none" w:sz="0" w:space="0" w:color="auto"/>
                <w:left w:val="none" w:sz="0" w:space="0" w:color="auto"/>
                <w:bottom w:val="none" w:sz="0" w:space="0" w:color="auto"/>
                <w:right w:val="none" w:sz="0" w:space="0" w:color="auto"/>
              </w:divBdr>
              <w:divsChild>
                <w:div w:id="136073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501452">
      <w:bodyDiv w:val="1"/>
      <w:marLeft w:val="180"/>
      <w:marRight w:val="150"/>
      <w:marTop w:val="0"/>
      <w:marBottom w:val="180"/>
      <w:divBdr>
        <w:top w:val="none" w:sz="0" w:space="0" w:color="auto"/>
        <w:left w:val="none" w:sz="0" w:space="0" w:color="auto"/>
        <w:bottom w:val="none" w:sz="0" w:space="0" w:color="auto"/>
        <w:right w:val="none" w:sz="0" w:space="0" w:color="auto"/>
      </w:divBdr>
      <w:divsChild>
        <w:div w:id="1627159356">
          <w:marLeft w:val="0"/>
          <w:marRight w:val="0"/>
          <w:marTop w:val="0"/>
          <w:marBottom w:val="180"/>
          <w:divBdr>
            <w:top w:val="none" w:sz="0" w:space="0" w:color="auto"/>
            <w:left w:val="none" w:sz="0" w:space="0" w:color="auto"/>
            <w:bottom w:val="none" w:sz="0" w:space="0" w:color="auto"/>
            <w:right w:val="none" w:sz="0" w:space="0" w:color="auto"/>
          </w:divBdr>
          <w:divsChild>
            <w:div w:id="951859800">
              <w:marLeft w:val="0"/>
              <w:marRight w:val="0"/>
              <w:marTop w:val="180"/>
              <w:marBottom w:val="0"/>
              <w:divBdr>
                <w:top w:val="none" w:sz="0" w:space="0" w:color="auto"/>
                <w:left w:val="none" w:sz="0" w:space="0" w:color="auto"/>
                <w:bottom w:val="none" w:sz="0" w:space="0" w:color="auto"/>
                <w:right w:val="none" w:sz="0" w:space="0" w:color="auto"/>
              </w:divBdr>
              <w:divsChild>
                <w:div w:id="102304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953005">
      <w:bodyDiv w:val="1"/>
      <w:marLeft w:val="0"/>
      <w:marRight w:val="0"/>
      <w:marTop w:val="0"/>
      <w:marBottom w:val="0"/>
      <w:divBdr>
        <w:top w:val="none" w:sz="0" w:space="0" w:color="auto"/>
        <w:left w:val="none" w:sz="0" w:space="0" w:color="auto"/>
        <w:bottom w:val="none" w:sz="0" w:space="0" w:color="auto"/>
        <w:right w:val="none" w:sz="0" w:space="0" w:color="auto"/>
      </w:divBdr>
    </w:div>
    <w:div w:id="1725595102">
      <w:bodyDiv w:val="1"/>
      <w:marLeft w:val="180"/>
      <w:marRight w:val="150"/>
      <w:marTop w:val="0"/>
      <w:marBottom w:val="180"/>
      <w:divBdr>
        <w:top w:val="none" w:sz="0" w:space="0" w:color="auto"/>
        <w:left w:val="none" w:sz="0" w:space="0" w:color="auto"/>
        <w:bottom w:val="none" w:sz="0" w:space="0" w:color="auto"/>
        <w:right w:val="none" w:sz="0" w:space="0" w:color="auto"/>
      </w:divBdr>
      <w:divsChild>
        <w:div w:id="140734094">
          <w:marLeft w:val="0"/>
          <w:marRight w:val="0"/>
          <w:marTop w:val="0"/>
          <w:marBottom w:val="180"/>
          <w:divBdr>
            <w:top w:val="none" w:sz="0" w:space="0" w:color="auto"/>
            <w:left w:val="none" w:sz="0" w:space="0" w:color="auto"/>
            <w:bottom w:val="none" w:sz="0" w:space="0" w:color="auto"/>
            <w:right w:val="none" w:sz="0" w:space="0" w:color="auto"/>
          </w:divBdr>
          <w:divsChild>
            <w:div w:id="1935899253">
              <w:marLeft w:val="0"/>
              <w:marRight w:val="0"/>
              <w:marTop w:val="180"/>
              <w:marBottom w:val="0"/>
              <w:divBdr>
                <w:top w:val="none" w:sz="0" w:space="0" w:color="auto"/>
                <w:left w:val="none" w:sz="0" w:space="0" w:color="auto"/>
                <w:bottom w:val="none" w:sz="0" w:space="0" w:color="auto"/>
                <w:right w:val="none" w:sz="0" w:space="0" w:color="auto"/>
              </w:divBdr>
              <w:divsChild>
                <w:div w:id="44828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337132">
      <w:bodyDiv w:val="1"/>
      <w:marLeft w:val="180"/>
      <w:marRight w:val="150"/>
      <w:marTop w:val="0"/>
      <w:marBottom w:val="180"/>
      <w:divBdr>
        <w:top w:val="none" w:sz="0" w:space="0" w:color="auto"/>
        <w:left w:val="none" w:sz="0" w:space="0" w:color="auto"/>
        <w:bottom w:val="none" w:sz="0" w:space="0" w:color="auto"/>
        <w:right w:val="none" w:sz="0" w:space="0" w:color="auto"/>
      </w:divBdr>
      <w:divsChild>
        <w:div w:id="1292174199">
          <w:marLeft w:val="0"/>
          <w:marRight w:val="0"/>
          <w:marTop w:val="0"/>
          <w:marBottom w:val="180"/>
          <w:divBdr>
            <w:top w:val="none" w:sz="0" w:space="0" w:color="auto"/>
            <w:left w:val="none" w:sz="0" w:space="0" w:color="auto"/>
            <w:bottom w:val="none" w:sz="0" w:space="0" w:color="auto"/>
            <w:right w:val="none" w:sz="0" w:space="0" w:color="auto"/>
          </w:divBdr>
          <w:divsChild>
            <w:div w:id="1198738352">
              <w:marLeft w:val="0"/>
              <w:marRight w:val="0"/>
              <w:marTop w:val="180"/>
              <w:marBottom w:val="0"/>
              <w:divBdr>
                <w:top w:val="none" w:sz="0" w:space="0" w:color="auto"/>
                <w:left w:val="none" w:sz="0" w:space="0" w:color="auto"/>
                <w:bottom w:val="none" w:sz="0" w:space="0" w:color="auto"/>
                <w:right w:val="none" w:sz="0" w:space="0" w:color="auto"/>
              </w:divBdr>
              <w:divsChild>
                <w:div w:id="101712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259794">
      <w:bodyDiv w:val="1"/>
      <w:marLeft w:val="180"/>
      <w:marRight w:val="150"/>
      <w:marTop w:val="0"/>
      <w:marBottom w:val="180"/>
      <w:divBdr>
        <w:top w:val="none" w:sz="0" w:space="0" w:color="auto"/>
        <w:left w:val="none" w:sz="0" w:space="0" w:color="auto"/>
        <w:bottom w:val="none" w:sz="0" w:space="0" w:color="auto"/>
        <w:right w:val="none" w:sz="0" w:space="0" w:color="auto"/>
      </w:divBdr>
      <w:divsChild>
        <w:div w:id="869419140">
          <w:marLeft w:val="0"/>
          <w:marRight w:val="0"/>
          <w:marTop w:val="0"/>
          <w:marBottom w:val="180"/>
          <w:divBdr>
            <w:top w:val="none" w:sz="0" w:space="0" w:color="auto"/>
            <w:left w:val="none" w:sz="0" w:space="0" w:color="auto"/>
            <w:bottom w:val="none" w:sz="0" w:space="0" w:color="auto"/>
            <w:right w:val="none" w:sz="0" w:space="0" w:color="auto"/>
          </w:divBdr>
          <w:divsChild>
            <w:div w:id="539368585">
              <w:marLeft w:val="0"/>
              <w:marRight w:val="0"/>
              <w:marTop w:val="180"/>
              <w:marBottom w:val="0"/>
              <w:divBdr>
                <w:top w:val="none" w:sz="0" w:space="0" w:color="auto"/>
                <w:left w:val="none" w:sz="0" w:space="0" w:color="auto"/>
                <w:bottom w:val="none" w:sz="0" w:space="0" w:color="auto"/>
                <w:right w:val="none" w:sz="0" w:space="0" w:color="auto"/>
              </w:divBdr>
              <w:divsChild>
                <w:div w:id="30285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ustees.osu.edu/rules5/ru5-19.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rustees.osu.edu/rules7/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C00CD-84D5-4CAA-AF90-B0C2707A8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Pages>
  <Words>1364</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9121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Snow</dc:creator>
  <cp:lastModifiedBy>Allison Snow</cp:lastModifiedBy>
  <cp:revision>3</cp:revision>
  <cp:lastPrinted>2010-12-01T19:39:00Z</cp:lastPrinted>
  <dcterms:created xsi:type="dcterms:W3CDTF">2010-12-01T19:42:00Z</dcterms:created>
  <dcterms:modified xsi:type="dcterms:W3CDTF">2010-12-01T22:33:00Z</dcterms:modified>
</cp:coreProperties>
</file>